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A72" w:rsidRPr="00A05A72" w:rsidRDefault="00A05A72" w:rsidP="00A05A72">
      <w:pPr>
        <w:jc w:val="center"/>
        <w:rPr>
          <w:rFonts w:ascii="Times New Roman" w:hAnsi="Times New Roman" w:cs="Aharoni"/>
          <w:b/>
          <w:bCs/>
          <w:color w:val="000000"/>
          <w:sz w:val="36"/>
          <w:szCs w:val="36"/>
        </w:rPr>
      </w:pPr>
      <w:r w:rsidRPr="00A05A72">
        <w:rPr>
          <w:rFonts w:ascii="Times New Roman" w:hAnsi="Times New Roman" w:cs="Aharoni"/>
          <w:b/>
          <w:bCs/>
          <w:color w:val="000000"/>
          <w:sz w:val="36"/>
          <w:szCs w:val="36"/>
        </w:rPr>
        <w:t>Contribution à l’étude de durcissement par précipitation dans l’alliage Al-Cu-Mg</w:t>
      </w:r>
      <w:r w:rsidR="001576AA" w:rsidRPr="001576AA">
        <w:rPr>
          <w:rFonts w:ascii="Times New Roman" w:hAnsi="Times New Roman" w:cs="Aharoni"/>
          <w:bCs/>
          <w:color w:val="000000"/>
          <w:position w:val="-4"/>
          <w:sz w:val="48"/>
          <w:szCs w:val="48"/>
        </w:rPr>
        <w:object w:dxaOrig="139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.4pt;height:22.15pt" o:ole="">
            <v:imagedata r:id="rId7" o:title=""/>
          </v:shape>
          <o:OLEObject Type="Embed" ProgID="Equation.3" ShapeID="_x0000_i1025" DrawAspect="Content" ObjectID="_1350372440" r:id="rId8"/>
        </w:object>
      </w:r>
    </w:p>
    <w:p w:rsidR="00181ABC" w:rsidRDefault="00181ABC" w:rsidP="00A05A72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151895">
        <w:rPr>
          <w:rFonts w:ascii="Times New Roman" w:hAnsi="Times New Roman" w:cs="Times New Roman"/>
          <w:sz w:val="24"/>
          <w:szCs w:val="24"/>
        </w:rPr>
        <w:t>Présenté par</w:t>
      </w:r>
    </w:p>
    <w:p w:rsidR="00A05A72" w:rsidRPr="00151895" w:rsidRDefault="00A05A72" w:rsidP="00A05A72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CHAIEB Zoubir</w:t>
      </w:r>
    </w:p>
    <w:p w:rsidR="00181ABC" w:rsidRPr="00151895" w:rsidRDefault="00181ABC" w:rsidP="00A05A72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151895">
        <w:rPr>
          <w:rFonts w:ascii="Times New Roman" w:hAnsi="Times New Roman" w:cs="Times New Roman"/>
          <w:sz w:val="24"/>
          <w:szCs w:val="24"/>
        </w:rPr>
        <w:t xml:space="preserve">Laboratoire </w:t>
      </w:r>
      <w:r w:rsidR="006B347C">
        <w:rPr>
          <w:rFonts w:ascii="Times New Roman" w:hAnsi="Times New Roman" w:cs="Times New Roman"/>
          <w:sz w:val="24"/>
          <w:szCs w:val="24"/>
        </w:rPr>
        <w:t>Solutions S</w:t>
      </w:r>
      <w:r>
        <w:rPr>
          <w:rFonts w:ascii="Times New Roman" w:hAnsi="Times New Roman" w:cs="Times New Roman"/>
          <w:sz w:val="24"/>
          <w:szCs w:val="24"/>
        </w:rPr>
        <w:t>olide</w:t>
      </w:r>
      <w:r w:rsidR="006B347C">
        <w:rPr>
          <w:rFonts w:ascii="Times New Roman" w:hAnsi="Times New Roman" w:cs="Times New Roman"/>
          <w:sz w:val="24"/>
          <w:szCs w:val="24"/>
        </w:rPr>
        <w:t>s</w:t>
      </w:r>
    </w:p>
    <w:p w:rsidR="00181ABC" w:rsidRPr="00A05A72" w:rsidRDefault="00181ABC" w:rsidP="00A05A72">
      <w:pPr>
        <w:jc w:val="center"/>
        <w:rPr>
          <w:rFonts w:asciiTheme="majorBidi" w:hAnsiTheme="majorBidi" w:cs="Aharoni"/>
          <w:bCs/>
          <w:color w:val="000000" w:themeColor="text1"/>
          <w:sz w:val="40"/>
          <w:szCs w:val="40"/>
        </w:rPr>
      </w:pPr>
      <w:r w:rsidRPr="00151895">
        <w:rPr>
          <w:rFonts w:ascii="Times New Roman" w:hAnsi="Times New Roman" w:cs="Times New Roman"/>
          <w:sz w:val="24"/>
          <w:szCs w:val="24"/>
        </w:rPr>
        <w:t>Faculté de Physique, USTHB</w:t>
      </w:r>
    </w:p>
    <w:p w:rsidR="00181ABC" w:rsidRDefault="00181ABC" w:rsidP="00A05A72">
      <w:pPr>
        <w:ind w:firstLine="340"/>
        <w:rPr>
          <w:rFonts w:ascii="Times New Roman" w:hAnsi="Times New Roman" w:cs="Times New Roman"/>
          <w:b/>
          <w:bCs/>
          <w:sz w:val="24"/>
          <w:szCs w:val="24"/>
        </w:rPr>
      </w:pPr>
      <w:r w:rsidRPr="00151895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181ABC" w:rsidRPr="00151895" w:rsidRDefault="00181ABC" w:rsidP="00A05A72">
      <w:pPr>
        <w:ind w:firstLine="340"/>
        <w:rPr>
          <w:rFonts w:ascii="Times New Roman" w:hAnsi="Times New Roman" w:cs="Times New Roman"/>
          <w:b/>
          <w:bCs/>
          <w:sz w:val="24"/>
          <w:szCs w:val="24"/>
        </w:rPr>
      </w:pPr>
    </w:p>
    <w:p w:rsidR="00A05A72" w:rsidRPr="00A05A72" w:rsidRDefault="00A05A72" w:rsidP="006F7AC3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A05A72">
        <w:rPr>
          <w:rFonts w:ascii="Times New Roman" w:hAnsi="Times New Roman" w:cs="Times New Roman"/>
          <w:sz w:val="24"/>
          <w:szCs w:val="24"/>
        </w:rPr>
        <w:t>Il existe environ 310 alliages d’aluminium  différents. Certains alliages possèdent des caractéristiques mécaniques qui répondent aux besoins du domaine aéronautique, comme par exemple les</w:t>
      </w:r>
      <w:r w:rsidR="006B347C">
        <w:rPr>
          <w:rFonts w:ascii="Times New Roman" w:hAnsi="Times New Roman" w:cs="Times New Roman"/>
          <w:sz w:val="24"/>
          <w:szCs w:val="24"/>
        </w:rPr>
        <w:t xml:space="preserve"> </w:t>
      </w:r>
      <w:r w:rsidRPr="00A05A72">
        <w:rPr>
          <w:rFonts w:ascii="Times New Roman" w:hAnsi="Times New Roman" w:cs="Times New Roman"/>
          <w:sz w:val="24"/>
          <w:szCs w:val="24"/>
        </w:rPr>
        <w:t>Alliages AlCuMg utilisé</w:t>
      </w:r>
      <w:r w:rsidR="006B347C">
        <w:rPr>
          <w:rFonts w:ascii="Times New Roman" w:hAnsi="Times New Roman" w:cs="Times New Roman"/>
          <w:sz w:val="24"/>
          <w:szCs w:val="24"/>
        </w:rPr>
        <w:t>s</w:t>
      </w:r>
      <w:r w:rsidRPr="00A05A72">
        <w:rPr>
          <w:rFonts w:ascii="Times New Roman" w:hAnsi="Times New Roman" w:cs="Times New Roman"/>
          <w:sz w:val="24"/>
          <w:szCs w:val="24"/>
        </w:rPr>
        <w:t xml:space="preserve"> dans les  structures des avions et le revêtement de leur fuselage. </w:t>
      </w:r>
    </w:p>
    <w:p w:rsidR="00A05A72" w:rsidRPr="00A05A72" w:rsidRDefault="00A05A72" w:rsidP="006F7AC3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A05A72">
        <w:rPr>
          <w:rFonts w:ascii="Times New Roman" w:hAnsi="Times New Roman" w:cs="Times New Roman"/>
          <w:sz w:val="24"/>
          <w:szCs w:val="24"/>
        </w:rPr>
        <w:t>Un alliage AlCuMg peut évoluer vers l’équilibre selon l</w:t>
      </w:r>
      <w:r w:rsidR="006B347C">
        <w:rPr>
          <w:rFonts w:ascii="Times New Roman" w:hAnsi="Times New Roman" w:cs="Times New Roman"/>
          <w:sz w:val="24"/>
          <w:szCs w:val="24"/>
        </w:rPr>
        <w:t>a</w:t>
      </w:r>
      <w:r w:rsidRPr="00A05A72">
        <w:rPr>
          <w:rFonts w:ascii="Times New Roman" w:hAnsi="Times New Roman" w:cs="Times New Roman"/>
          <w:sz w:val="24"/>
          <w:szCs w:val="24"/>
        </w:rPr>
        <w:t xml:space="preserve"> séquence</w:t>
      </w:r>
      <w:r w:rsidR="006B347C">
        <w:rPr>
          <w:rFonts w:ascii="Times New Roman" w:hAnsi="Times New Roman" w:cs="Times New Roman"/>
          <w:sz w:val="24"/>
          <w:szCs w:val="24"/>
        </w:rPr>
        <w:t xml:space="preserve"> de précipitation suivante</w:t>
      </w:r>
      <w:r w:rsidRPr="00A05A72">
        <w:rPr>
          <w:rFonts w:ascii="Times New Roman" w:hAnsi="Times New Roman" w:cs="Times New Roman"/>
          <w:sz w:val="24"/>
          <w:szCs w:val="24"/>
        </w:rPr>
        <w:t> :</w:t>
      </w:r>
    </w:p>
    <w:p w:rsidR="00A05A72" w:rsidRPr="00A05A72" w:rsidRDefault="00A05A72" w:rsidP="006B347C">
      <w:pPr>
        <w:jc w:val="center"/>
        <w:rPr>
          <w:rFonts w:ascii="Times New Roman" w:hAnsi="Times New Roman" w:cs="Times New Roman"/>
          <w:sz w:val="24"/>
          <w:szCs w:val="24"/>
        </w:rPr>
      </w:pPr>
      <w:r w:rsidRPr="00A05A72">
        <w:rPr>
          <w:rFonts w:ascii="Times New Roman" w:hAnsi="Times New Roman" w:cs="Times New Roman"/>
          <w:sz w:val="24"/>
          <w:szCs w:val="24"/>
        </w:rPr>
        <w:t xml:space="preserve">SSS→zones(GPB) →S  </w:t>
      </w:r>
      <w:r w:rsidRPr="00A05A72">
        <w:rPr>
          <w:rFonts w:ascii="Times New Roman" w:cs="Times New Roman"/>
          <w:sz w:val="24"/>
          <w:szCs w:val="24"/>
        </w:rPr>
        <w:t>̋</w:t>
      </w:r>
      <w:r w:rsidRPr="00A05A72">
        <w:rPr>
          <w:rFonts w:ascii="Times New Roman" w:hAnsi="Times New Roman" w:cs="Times New Roman"/>
          <w:sz w:val="24"/>
          <w:szCs w:val="24"/>
        </w:rPr>
        <w:t xml:space="preserve">→S </w:t>
      </w:r>
      <w:r w:rsidRPr="00A05A72">
        <w:rPr>
          <w:rFonts w:ascii="Times New Roman" w:cs="Times New Roman"/>
          <w:sz w:val="24"/>
          <w:szCs w:val="24"/>
        </w:rPr>
        <w:t>̒</w:t>
      </w:r>
      <w:r w:rsidRPr="00A05A72">
        <w:rPr>
          <w:rFonts w:ascii="Times New Roman" w:hAnsi="Times New Roman" w:cs="Times New Roman"/>
          <w:sz w:val="24"/>
          <w:szCs w:val="24"/>
        </w:rPr>
        <w:t>(Al</w:t>
      </w:r>
      <w:r w:rsidRPr="00A05A7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05A72">
        <w:rPr>
          <w:rFonts w:ascii="Times New Roman" w:hAnsi="Times New Roman" w:cs="Times New Roman"/>
          <w:sz w:val="24"/>
          <w:szCs w:val="24"/>
        </w:rPr>
        <w:t>CuMg) →S(Al</w:t>
      </w:r>
      <w:r w:rsidRPr="00A05A7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05A72">
        <w:rPr>
          <w:rFonts w:ascii="Times New Roman" w:hAnsi="Times New Roman" w:cs="Times New Roman"/>
          <w:sz w:val="24"/>
          <w:szCs w:val="24"/>
        </w:rPr>
        <w:t>CuMg)</w:t>
      </w:r>
    </w:p>
    <w:p w:rsidR="00A05A72" w:rsidRPr="00A05A72" w:rsidRDefault="00A05A72" w:rsidP="00A05A72">
      <w:pPr>
        <w:rPr>
          <w:rFonts w:ascii="Times New Roman" w:hAnsi="Times New Roman" w:cs="Times New Roman"/>
          <w:sz w:val="24"/>
          <w:szCs w:val="24"/>
        </w:rPr>
      </w:pPr>
      <w:r w:rsidRPr="00A05A72">
        <w:rPr>
          <w:rFonts w:ascii="Times New Roman" w:hAnsi="Times New Roman" w:cs="Times New Roman"/>
          <w:sz w:val="24"/>
          <w:szCs w:val="24"/>
        </w:rPr>
        <w:t>Où SSS </w:t>
      </w:r>
      <w:r w:rsidR="006B347C">
        <w:rPr>
          <w:rFonts w:ascii="Times New Roman" w:hAnsi="Times New Roman" w:cs="Times New Roman"/>
          <w:sz w:val="24"/>
          <w:szCs w:val="24"/>
        </w:rPr>
        <w:t>=</w:t>
      </w:r>
      <w:r w:rsidRPr="00A05A72">
        <w:rPr>
          <w:rFonts w:ascii="Times New Roman" w:hAnsi="Times New Roman" w:cs="Times New Roman"/>
          <w:sz w:val="24"/>
          <w:szCs w:val="24"/>
        </w:rPr>
        <w:t xml:space="preserve"> solution solide sursaturée</w:t>
      </w:r>
      <w:r w:rsidR="006B347C">
        <w:rPr>
          <w:rFonts w:ascii="Times New Roman" w:hAnsi="Times New Roman" w:cs="Times New Roman"/>
          <w:sz w:val="24"/>
          <w:szCs w:val="24"/>
        </w:rPr>
        <w:t>,</w:t>
      </w:r>
      <w:r w:rsidRPr="00A05A72">
        <w:rPr>
          <w:rFonts w:ascii="Times New Roman" w:hAnsi="Times New Roman" w:cs="Times New Roman"/>
          <w:sz w:val="24"/>
          <w:szCs w:val="24"/>
        </w:rPr>
        <w:t xml:space="preserve"> (GPB) </w:t>
      </w:r>
      <w:r w:rsidR="006B347C">
        <w:rPr>
          <w:rFonts w:ascii="Times New Roman" w:hAnsi="Times New Roman" w:cs="Times New Roman"/>
          <w:sz w:val="24"/>
          <w:szCs w:val="24"/>
        </w:rPr>
        <w:t>=</w:t>
      </w:r>
      <w:r w:rsidRPr="00A05A72">
        <w:rPr>
          <w:rFonts w:ascii="Times New Roman" w:hAnsi="Times New Roman" w:cs="Times New Roman"/>
          <w:sz w:val="24"/>
          <w:szCs w:val="24"/>
        </w:rPr>
        <w:t xml:space="preserve"> zones </w:t>
      </w:r>
      <w:r w:rsidR="006B347C" w:rsidRPr="00A05A72">
        <w:rPr>
          <w:rFonts w:ascii="Times New Roman" w:hAnsi="Times New Roman" w:cs="Times New Roman"/>
          <w:sz w:val="24"/>
          <w:szCs w:val="24"/>
        </w:rPr>
        <w:t>Guinier-preston-bagary</w:t>
      </w:r>
      <w:r w:rsidR="006B347C">
        <w:rPr>
          <w:rFonts w:ascii="Times New Roman" w:hAnsi="Times New Roman" w:cs="Times New Roman"/>
          <w:sz w:val="24"/>
          <w:szCs w:val="24"/>
        </w:rPr>
        <w:t>e</w:t>
      </w:r>
      <w:r w:rsidR="006B347C" w:rsidRPr="00A05A72">
        <w:rPr>
          <w:rFonts w:ascii="Times New Roman" w:hAnsi="Times New Roman" w:cs="Times New Roman"/>
          <w:sz w:val="24"/>
          <w:szCs w:val="24"/>
        </w:rPr>
        <w:t>tsky</w:t>
      </w:r>
      <w:r w:rsidRPr="00A05A72">
        <w:rPr>
          <w:rFonts w:ascii="Times New Roman" w:hAnsi="Times New Roman" w:cs="Times New Roman"/>
          <w:sz w:val="24"/>
          <w:szCs w:val="24"/>
        </w:rPr>
        <w:t xml:space="preserve">, S  </w:t>
      </w:r>
      <w:r w:rsidRPr="00A05A72">
        <w:rPr>
          <w:rFonts w:ascii="Times New Roman" w:cs="Times New Roman"/>
          <w:sz w:val="24"/>
          <w:szCs w:val="24"/>
        </w:rPr>
        <w:t>̋</w:t>
      </w:r>
      <w:r w:rsidRPr="00A05A72">
        <w:rPr>
          <w:rFonts w:ascii="Times New Roman" w:hAnsi="Times New Roman" w:cs="Times New Roman"/>
          <w:sz w:val="24"/>
          <w:szCs w:val="24"/>
        </w:rPr>
        <w:t> </w:t>
      </w:r>
      <w:r w:rsidR="006B347C">
        <w:rPr>
          <w:rFonts w:ascii="Times New Roman" w:hAnsi="Times New Roman" w:cs="Times New Roman"/>
          <w:sz w:val="24"/>
          <w:szCs w:val="24"/>
        </w:rPr>
        <w:t>=</w:t>
      </w:r>
      <w:r w:rsidRPr="00A05A72">
        <w:rPr>
          <w:rFonts w:ascii="Times New Roman" w:hAnsi="Times New Roman" w:cs="Times New Roman"/>
          <w:sz w:val="24"/>
          <w:szCs w:val="24"/>
        </w:rPr>
        <w:t xml:space="preserve">phase métastable (cohérente avec la matrice), S </w:t>
      </w:r>
      <w:r w:rsidRPr="00A05A72">
        <w:rPr>
          <w:rFonts w:ascii="Times New Roman" w:cs="Times New Roman"/>
          <w:sz w:val="24"/>
          <w:szCs w:val="24"/>
        </w:rPr>
        <w:t>̒</w:t>
      </w:r>
      <w:r w:rsidRPr="00A05A72">
        <w:rPr>
          <w:rFonts w:ascii="Times New Roman" w:hAnsi="Times New Roman" w:cs="Times New Roman"/>
          <w:sz w:val="24"/>
          <w:szCs w:val="24"/>
        </w:rPr>
        <w:t> </w:t>
      </w:r>
      <w:r w:rsidR="006B347C">
        <w:rPr>
          <w:rFonts w:ascii="Times New Roman" w:hAnsi="Times New Roman" w:cs="Times New Roman"/>
          <w:sz w:val="24"/>
          <w:szCs w:val="24"/>
        </w:rPr>
        <w:t>= phase métastable (semi-</w:t>
      </w:r>
      <w:r w:rsidRPr="00A05A72">
        <w:rPr>
          <w:rFonts w:ascii="Times New Roman" w:hAnsi="Times New Roman" w:cs="Times New Roman"/>
          <w:sz w:val="24"/>
          <w:szCs w:val="24"/>
        </w:rPr>
        <w:t xml:space="preserve">cohérent avec la matrice), S </w:t>
      </w:r>
      <w:r w:rsidR="006B347C">
        <w:rPr>
          <w:rFonts w:ascii="Times New Roman" w:hAnsi="Times New Roman" w:cs="Times New Roman"/>
          <w:sz w:val="24"/>
          <w:szCs w:val="24"/>
        </w:rPr>
        <w:t>=</w:t>
      </w:r>
      <w:r w:rsidRPr="00A05A72">
        <w:rPr>
          <w:rFonts w:ascii="Times New Roman" w:hAnsi="Times New Roman" w:cs="Times New Roman"/>
          <w:sz w:val="24"/>
          <w:szCs w:val="24"/>
        </w:rPr>
        <w:t xml:space="preserve"> phase stable d’équilibre (incohérent</w:t>
      </w:r>
      <w:r w:rsidR="006B347C">
        <w:rPr>
          <w:rFonts w:ascii="Times New Roman" w:hAnsi="Times New Roman" w:cs="Times New Roman"/>
          <w:sz w:val="24"/>
          <w:szCs w:val="24"/>
        </w:rPr>
        <w:t>e</w:t>
      </w:r>
      <w:r w:rsidRPr="00A05A72">
        <w:rPr>
          <w:rFonts w:ascii="Times New Roman" w:hAnsi="Times New Roman" w:cs="Times New Roman"/>
          <w:sz w:val="24"/>
          <w:szCs w:val="24"/>
        </w:rPr>
        <w:t xml:space="preserve"> avec la matrice)</w:t>
      </w:r>
    </w:p>
    <w:p w:rsidR="00A05A72" w:rsidRPr="00A05A72" w:rsidRDefault="00A05A72" w:rsidP="00A05A72">
      <w:pPr>
        <w:ind w:firstLine="567"/>
        <w:rPr>
          <w:rFonts w:ascii="Times New Roman" w:hAnsi="Times New Roman" w:cs="Times New Roman"/>
          <w:b/>
          <w:bCs/>
          <w:sz w:val="28"/>
          <w:szCs w:val="28"/>
        </w:rPr>
      </w:pPr>
      <w:r w:rsidRPr="00A05A72">
        <w:rPr>
          <w:rFonts w:ascii="Times New Roman" w:hAnsi="Times New Roman" w:cs="Times New Roman"/>
          <w:bCs/>
          <w:sz w:val="24"/>
          <w:szCs w:val="24"/>
        </w:rPr>
        <w:t>Notre travail consiste en l’étude de l’influence des traitements thermiques sur la précipitation dans l’alliage  Al-2.6%Cu-1%Mg-(Sn) (en poids). Les échantillons élaborés à l’air et refroidis lentement</w:t>
      </w:r>
      <w:r w:rsidR="00FB153A">
        <w:rPr>
          <w:rFonts w:ascii="Times New Roman" w:hAnsi="Times New Roman" w:cs="Times New Roman"/>
          <w:bCs/>
          <w:sz w:val="24"/>
          <w:szCs w:val="24"/>
        </w:rPr>
        <w:t xml:space="preserve"> sont homogénéisés à 520°C et soumis à</w:t>
      </w:r>
      <w:r w:rsidRPr="00A05A72">
        <w:rPr>
          <w:rFonts w:ascii="Times New Roman" w:hAnsi="Times New Roman" w:cs="Times New Roman"/>
          <w:bCs/>
          <w:sz w:val="24"/>
          <w:szCs w:val="24"/>
        </w:rPr>
        <w:t xml:space="preserve"> des </w:t>
      </w:r>
      <w:r w:rsidR="00FB153A" w:rsidRPr="00A05A72">
        <w:rPr>
          <w:rFonts w:ascii="Times New Roman" w:hAnsi="Times New Roman" w:cs="Times New Roman"/>
          <w:bCs/>
          <w:sz w:val="24"/>
          <w:szCs w:val="24"/>
        </w:rPr>
        <w:t>traitements</w:t>
      </w:r>
      <w:r w:rsidRPr="00A05A72">
        <w:rPr>
          <w:rFonts w:ascii="Times New Roman" w:hAnsi="Times New Roman" w:cs="Times New Roman"/>
          <w:bCs/>
          <w:sz w:val="24"/>
          <w:szCs w:val="24"/>
        </w:rPr>
        <w:t xml:space="preserve"> de revenu à des températures variant de 90 à 200°C</w:t>
      </w:r>
      <w:r w:rsidR="00FB153A">
        <w:rPr>
          <w:rFonts w:ascii="Times New Roman" w:hAnsi="Times New Roman" w:cs="Times New Roman"/>
          <w:bCs/>
          <w:sz w:val="24"/>
          <w:szCs w:val="24"/>
        </w:rPr>
        <w:t>. L</w:t>
      </w:r>
      <w:r w:rsidRPr="00A05A72">
        <w:rPr>
          <w:rFonts w:ascii="Times New Roman" w:hAnsi="Times New Roman" w:cs="Times New Roman"/>
          <w:bCs/>
          <w:sz w:val="24"/>
          <w:szCs w:val="24"/>
        </w:rPr>
        <w:t>’alliage</w:t>
      </w:r>
      <w:r w:rsidR="00FB153A">
        <w:rPr>
          <w:rFonts w:ascii="Times New Roman" w:hAnsi="Times New Roman" w:cs="Times New Roman"/>
          <w:bCs/>
          <w:sz w:val="24"/>
          <w:szCs w:val="24"/>
        </w:rPr>
        <w:t xml:space="preserve"> contenant </w:t>
      </w:r>
      <w:r w:rsidRPr="00A05A72">
        <w:rPr>
          <w:rFonts w:ascii="Times New Roman" w:hAnsi="Times New Roman" w:cs="Times New Roman"/>
          <w:bCs/>
          <w:sz w:val="24"/>
          <w:szCs w:val="24"/>
        </w:rPr>
        <w:t>de 0.02% Sn (en poids) est</w:t>
      </w:r>
      <w:r w:rsidR="00FB153A">
        <w:rPr>
          <w:rFonts w:ascii="Times New Roman" w:hAnsi="Times New Roman" w:cs="Times New Roman"/>
          <w:bCs/>
          <w:sz w:val="24"/>
          <w:szCs w:val="24"/>
        </w:rPr>
        <w:t xml:space="preserve"> traité à deux températures 150</w:t>
      </w:r>
      <w:r w:rsidRPr="00A05A72">
        <w:rPr>
          <w:rFonts w:ascii="Times New Roman" w:hAnsi="Times New Roman" w:cs="Times New Roman"/>
          <w:bCs/>
          <w:sz w:val="24"/>
          <w:szCs w:val="24"/>
        </w:rPr>
        <w:t>et200°C.</w:t>
      </w:r>
      <w:r w:rsidR="00FB153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05A72">
        <w:rPr>
          <w:rFonts w:ascii="Times New Roman" w:hAnsi="Times New Roman" w:cs="Times New Roman"/>
          <w:bCs/>
          <w:sz w:val="24"/>
          <w:szCs w:val="24"/>
        </w:rPr>
        <w:t>Les mesures de microdureté ont permis d</w:t>
      </w:r>
      <w:r w:rsidR="00FB153A">
        <w:rPr>
          <w:rFonts w:ascii="Times New Roman" w:hAnsi="Times New Roman" w:cs="Times New Roman"/>
          <w:bCs/>
          <w:sz w:val="24"/>
          <w:szCs w:val="24"/>
        </w:rPr>
        <w:t>’établir</w:t>
      </w:r>
      <w:r w:rsidRPr="00A05A72">
        <w:rPr>
          <w:rFonts w:ascii="Times New Roman" w:hAnsi="Times New Roman" w:cs="Times New Roman"/>
          <w:bCs/>
          <w:sz w:val="24"/>
          <w:szCs w:val="24"/>
        </w:rPr>
        <w:t xml:space="preserve"> des isothermes </w:t>
      </w:r>
      <w:r w:rsidR="00FB153A">
        <w:rPr>
          <w:rFonts w:ascii="Times New Roman" w:hAnsi="Times New Roman" w:cs="Times New Roman"/>
          <w:bCs/>
          <w:sz w:val="24"/>
          <w:szCs w:val="24"/>
        </w:rPr>
        <w:t>d’ou</w:t>
      </w:r>
      <w:r w:rsidRPr="00A05A72">
        <w:rPr>
          <w:rFonts w:ascii="Times New Roman" w:hAnsi="Times New Roman" w:cs="Times New Roman"/>
          <w:bCs/>
          <w:sz w:val="24"/>
          <w:szCs w:val="24"/>
        </w:rPr>
        <w:t xml:space="preserve"> nous </w:t>
      </w:r>
      <w:r w:rsidR="00FB153A">
        <w:rPr>
          <w:rFonts w:ascii="Times New Roman" w:hAnsi="Times New Roman" w:cs="Times New Roman"/>
          <w:bCs/>
          <w:sz w:val="24"/>
          <w:szCs w:val="24"/>
        </w:rPr>
        <w:t>avons déduit</w:t>
      </w:r>
      <w:r w:rsidRPr="00A05A72">
        <w:rPr>
          <w:rFonts w:ascii="Times New Roman" w:hAnsi="Times New Roman" w:cs="Times New Roman"/>
          <w:bCs/>
          <w:sz w:val="24"/>
          <w:szCs w:val="24"/>
        </w:rPr>
        <w:t xml:space="preserve"> l’évolution de la cinétique de précipitation avec l’augmentation de la température.</w:t>
      </w:r>
    </w:p>
    <w:p w:rsidR="00A05A72" w:rsidRPr="00A05A72" w:rsidRDefault="00A05A72" w:rsidP="00A05A72">
      <w:pPr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A05A72">
        <w:rPr>
          <w:rFonts w:ascii="Times New Roman" w:hAnsi="Times New Roman" w:cs="Times New Roman"/>
          <w:sz w:val="24"/>
          <w:szCs w:val="24"/>
        </w:rPr>
        <w:t>A partir des isothermes on a déterminé des courbes de cinétique de formation des zones GPB qui nous permettent, de déterminer les temps d’incubation t</w:t>
      </w:r>
      <w:r w:rsidRPr="00A05A72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Pr="00A05A72">
        <w:rPr>
          <w:rFonts w:ascii="Times New Roman" w:hAnsi="Times New Roman" w:cs="Times New Roman"/>
          <w:sz w:val="24"/>
          <w:szCs w:val="24"/>
        </w:rPr>
        <w:t xml:space="preserve"> de ces zones</w:t>
      </w:r>
      <w:r w:rsidR="00FB153A">
        <w:rPr>
          <w:rFonts w:ascii="Times New Roman" w:hAnsi="Times New Roman" w:cs="Times New Roman"/>
          <w:sz w:val="24"/>
          <w:szCs w:val="24"/>
        </w:rPr>
        <w:t>, et de conclu</w:t>
      </w:r>
      <w:r w:rsidR="00CE6015">
        <w:rPr>
          <w:rFonts w:ascii="Times New Roman" w:hAnsi="Times New Roman" w:cs="Times New Roman"/>
          <w:sz w:val="24"/>
          <w:szCs w:val="24"/>
        </w:rPr>
        <w:t>r</w:t>
      </w:r>
      <w:r w:rsidR="00FB153A">
        <w:rPr>
          <w:rFonts w:ascii="Times New Roman" w:hAnsi="Times New Roman" w:cs="Times New Roman"/>
          <w:sz w:val="24"/>
          <w:szCs w:val="24"/>
        </w:rPr>
        <w:t xml:space="preserve">e qu’il y a une accélération de la précipitation. </w:t>
      </w:r>
    </w:p>
    <w:p w:rsidR="00181ABC" w:rsidRPr="00467DA2" w:rsidRDefault="00D162A7" w:rsidP="00A05A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left:0;text-align:left;margin-left:3.65pt;margin-top:13.45pt;width:452.1pt;height:0;z-index:251658240" o:connectortype="straight" strokecolor="black [3200]" strokeweight="2.5pt">
            <v:shadow color="#868686"/>
          </v:shape>
        </w:pict>
      </w:r>
      <w:r w:rsidR="00181ABC" w:rsidRPr="00467DA2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163CE" w:rsidRPr="00151895" w:rsidRDefault="00181ABC" w:rsidP="00A05A72">
      <w:pPr>
        <w:tabs>
          <w:tab w:val="left" w:pos="1620"/>
        </w:tabs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 xml:space="preserve">  </w:t>
      </w:r>
      <w:r w:rsidR="00B163CE" w:rsidRPr="00151895">
        <w:rPr>
          <w:rFonts w:ascii="Times New Roman" w:hAnsi="Times New Roman" w:cs="Times New Roman"/>
          <w:sz w:val="24"/>
          <w:szCs w:val="24"/>
        </w:rPr>
        <w:t>*Résumé de Mémoire de Magister.</w:t>
      </w:r>
    </w:p>
    <w:p w:rsidR="00B163CE" w:rsidRPr="00151895" w:rsidRDefault="00CE6015" w:rsidP="00A05A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163CE" w:rsidRPr="00151895">
        <w:rPr>
          <w:rFonts w:ascii="Times New Roman" w:hAnsi="Times New Roman" w:cs="Times New Roman"/>
          <w:sz w:val="24"/>
          <w:szCs w:val="24"/>
        </w:rPr>
        <w:t xml:space="preserve">Directeur de Mémoire : </w:t>
      </w:r>
      <w:r w:rsidR="00A05A72">
        <w:rPr>
          <w:rFonts w:ascii="Times New Roman" w:hAnsi="Times New Roman" w:cs="Times New Roman"/>
          <w:sz w:val="24"/>
          <w:szCs w:val="24"/>
        </w:rPr>
        <w:t>KADI HANIFI</w:t>
      </w:r>
      <w:r w:rsidR="00B163CE" w:rsidRPr="00151895">
        <w:rPr>
          <w:rFonts w:ascii="Times New Roman" w:hAnsi="Times New Roman" w:cs="Times New Roman"/>
          <w:sz w:val="24"/>
          <w:szCs w:val="24"/>
        </w:rPr>
        <w:t xml:space="preserve"> </w:t>
      </w:r>
      <w:r w:rsidR="00A05A72">
        <w:rPr>
          <w:rFonts w:ascii="Times New Roman" w:hAnsi="Times New Roman" w:cs="Times New Roman"/>
          <w:sz w:val="24"/>
          <w:szCs w:val="24"/>
        </w:rPr>
        <w:t>Professeur</w:t>
      </w:r>
      <w:r w:rsidR="00B163CE" w:rsidRPr="00151895">
        <w:rPr>
          <w:rFonts w:ascii="Times New Roman" w:hAnsi="Times New Roman" w:cs="Times New Roman"/>
          <w:sz w:val="24"/>
          <w:szCs w:val="24"/>
        </w:rPr>
        <w:t xml:space="preserve"> à Faculté de Physique, USTHB.</w:t>
      </w:r>
    </w:p>
    <w:p w:rsidR="00181ABC" w:rsidRPr="00467DA2" w:rsidRDefault="00181ABC" w:rsidP="00A05A72">
      <w:pPr>
        <w:rPr>
          <w:rFonts w:ascii="Times New Roman" w:hAnsi="Times New Roman" w:cs="Times New Roman"/>
          <w:sz w:val="24"/>
          <w:szCs w:val="24"/>
        </w:rPr>
      </w:pPr>
    </w:p>
    <w:sectPr w:rsidR="00181ABC" w:rsidRPr="00467DA2" w:rsidSect="001745A6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31C3" w:rsidRDefault="003D31C3" w:rsidP="00181ABC">
      <w:pPr>
        <w:spacing w:line="240" w:lineRule="auto"/>
      </w:pPr>
      <w:r>
        <w:separator/>
      </w:r>
    </w:p>
  </w:endnote>
  <w:endnote w:type="continuationSeparator" w:id="1">
    <w:p w:rsidR="003D31C3" w:rsidRDefault="003D31C3" w:rsidP="00181AB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1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5A6" w:rsidRDefault="001745A6" w:rsidP="00467447">
    <w:pPr>
      <w:pStyle w:val="Pieddepage"/>
      <w:jc w:val="center"/>
    </w:pPr>
  </w:p>
  <w:p w:rsidR="00181ABC" w:rsidRDefault="00181AB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31C3" w:rsidRDefault="003D31C3" w:rsidP="00181ABC">
      <w:pPr>
        <w:spacing w:line="240" w:lineRule="auto"/>
      </w:pPr>
      <w:r>
        <w:separator/>
      </w:r>
    </w:p>
  </w:footnote>
  <w:footnote w:type="continuationSeparator" w:id="1">
    <w:p w:rsidR="003D31C3" w:rsidRDefault="003D31C3" w:rsidP="00181AB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81ABC"/>
    <w:rsid w:val="000A66C9"/>
    <w:rsid w:val="000B3FB2"/>
    <w:rsid w:val="001576AA"/>
    <w:rsid w:val="001745A6"/>
    <w:rsid w:val="00181ABC"/>
    <w:rsid w:val="001B28FD"/>
    <w:rsid w:val="002022D4"/>
    <w:rsid w:val="00203BF6"/>
    <w:rsid w:val="002E0BFE"/>
    <w:rsid w:val="00341507"/>
    <w:rsid w:val="003D31C3"/>
    <w:rsid w:val="00467447"/>
    <w:rsid w:val="0062590E"/>
    <w:rsid w:val="00627B13"/>
    <w:rsid w:val="006B347C"/>
    <w:rsid w:val="006F7AC3"/>
    <w:rsid w:val="00710C87"/>
    <w:rsid w:val="007D1EC8"/>
    <w:rsid w:val="00851D71"/>
    <w:rsid w:val="00924656"/>
    <w:rsid w:val="00A05A72"/>
    <w:rsid w:val="00A44EE6"/>
    <w:rsid w:val="00A52F02"/>
    <w:rsid w:val="00AA3E5C"/>
    <w:rsid w:val="00B163CE"/>
    <w:rsid w:val="00CE4C02"/>
    <w:rsid w:val="00CE6015"/>
    <w:rsid w:val="00D12526"/>
    <w:rsid w:val="00D162A7"/>
    <w:rsid w:val="00D82A8A"/>
    <w:rsid w:val="00F73050"/>
    <w:rsid w:val="00F75664"/>
    <w:rsid w:val="00FB1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2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ABC"/>
    <w:pPr>
      <w:spacing w:after="0" w:line="360" w:lineRule="auto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81ABC"/>
    <w:pPr>
      <w:spacing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81ABC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181ABC"/>
    <w:rPr>
      <w:vertAlign w:val="superscript"/>
    </w:rPr>
  </w:style>
  <w:style w:type="paragraph" w:styleId="En-tte">
    <w:name w:val="header"/>
    <w:basedOn w:val="Normal"/>
    <w:link w:val="En-tteCar"/>
    <w:uiPriority w:val="99"/>
    <w:semiHidden/>
    <w:unhideWhenUsed/>
    <w:rsid w:val="00181ABC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81ABC"/>
  </w:style>
  <w:style w:type="paragraph" w:styleId="Pieddepage">
    <w:name w:val="footer"/>
    <w:basedOn w:val="Normal"/>
    <w:link w:val="PieddepageCar"/>
    <w:uiPriority w:val="99"/>
    <w:unhideWhenUsed/>
    <w:rsid w:val="00181ABC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81ABC"/>
  </w:style>
  <w:style w:type="paragraph" w:styleId="Textedebulles">
    <w:name w:val="Balloon Text"/>
    <w:basedOn w:val="Normal"/>
    <w:link w:val="TextedebullesCar"/>
    <w:uiPriority w:val="99"/>
    <w:semiHidden/>
    <w:unhideWhenUsed/>
    <w:rsid w:val="00181A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81AB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A1A5F-BAD1-4361-8D42-E9E09B54D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276</Words>
  <Characters>1519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</dc:creator>
  <cp:lastModifiedBy>ahmed</cp:lastModifiedBy>
  <cp:revision>21</cp:revision>
  <cp:lastPrinted>2010-11-04T09:40:00Z</cp:lastPrinted>
  <dcterms:created xsi:type="dcterms:W3CDTF">2010-10-17T08:30:00Z</dcterms:created>
  <dcterms:modified xsi:type="dcterms:W3CDTF">2010-11-04T09:41:00Z</dcterms:modified>
</cp:coreProperties>
</file>