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797" w:rsidRDefault="00796797" w:rsidP="00796797">
      <w:r>
        <w:t xml:space="preserve">L'assemblage de matériaux par les méthodes conventionnelles trouve ses limites dans certaines applications spécifiques. Nous abordons une étude sur la liaison par diffusion à l'état solide entre l'alliage de Zr (Zy4) et </w:t>
      </w:r>
      <w:proofErr w:type="spellStart"/>
      <w:r>
        <w:t>I'acier</w:t>
      </w:r>
      <w:proofErr w:type="spellEnd"/>
      <w:r>
        <w:t xml:space="preserve"> inoxydable (304L) pour une application dans le secteur du nucléaire. </w:t>
      </w:r>
    </w:p>
    <w:p w:rsidR="00796797" w:rsidRDefault="00796797" w:rsidP="00796797">
      <w:r>
        <w:t>Les couples de diffusion préparés ont subi des traitements à des températures de 850°C, 950°C et 1020°C dans une atmosphère contrôlée et sous pressions d'accostages dynamiques. Nous accordons une attention particulière à la morphologie de l'interface formée et à la nature des phases formées. Les observations et analyses chimiques sont réalisées par MEBE-EDX et DRX. La répartition quantitative ainsi que la localisation des éléments chimiques sont définies par des profils chimiques et des séries d'images X. La jonction est constituée de trois zones distinctes formées d'une solution solide (</w:t>
      </w:r>
      <w:proofErr w:type="spellStart"/>
      <w:r>
        <w:t>FeCr</w:t>
      </w:r>
      <w:proofErr w:type="spellEnd"/>
      <w:r>
        <w:t>)  riche en Cr sous forme d'un liseré homogène du coté acier. Les deux autres zones du centre et du coté Zy4 sont biphasées Zr -</w:t>
      </w:r>
      <w:proofErr w:type="gramStart"/>
      <w:r>
        <w:t>Zr(</w:t>
      </w:r>
      <w:proofErr w:type="gramEnd"/>
      <w:r>
        <w:t xml:space="preserve">Fe, Cr)2 et Zr -Zr2( Fe1-x Nix), 0,15&lt;x&lt;0,25. Les résultats obtenus sont un recoupement entre les observations fines et les analyses chimiques et radio cristallographiques. </w:t>
      </w:r>
    </w:p>
    <w:p w:rsidR="00796797" w:rsidRDefault="00796797" w:rsidP="00796797">
      <w:r>
        <w:t xml:space="preserve">Les valeurs des </w:t>
      </w:r>
      <w:proofErr w:type="spellStart"/>
      <w:r>
        <w:t>microduretés</w:t>
      </w:r>
      <w:proofErr w:type="spellEnd"/>
      <w:r>
        <w:t xml:space="preserve"> mesurées donnent une filiation très hétérogène au niveau de l'interface. </w:t>
      </w:r>
    </w:p>
    <w:p w:rsidR="00796797" w:rsidRDefault="00796797" w:rsidP="00796797">
      <w:r>
        <w:t xml:space="preserve">L'analyse des faciès de rupture obtenus par essai de résilience, ont montré une morphologie d'une rupture fragile à clivage qui  s'est localisée à l'interface, au niveau de la zone III composée essentiellement de la phase du type </w:t>
      </w:r>
      <w:proofErr w:type="gramStart"/>
      <w:r>
        <w:t>Zr2(</w:t>
      </w:r>
      <w:proofErr w:type="gramEnd"/>
      <w:r>
        <w:t xml:space="preserve">Fe1-x Nix). </w:t>
      </w:r>
    </w:p>
    <w:p w:rsidR="00796797" w:rsidRDefault="00796797" w:rsidP="00796797">
      <w:r>
        <w:t xml:space="preserve">Le comportement électrochimique, fait apparaître une corrosion non galvanique, les zones I et II ont été pratiquement résistant à la solution 1M </w:t>
      </w:r>
      <w:proofErr w:type="spellStart"/>
      <w:r>
        <w:t>NaCl</w:t>
      </w:r>
      <w:proofErr w:type="spellEnd"/>
      <w:r>
        <w:t>, par rapport à celle de la zone III qui apparaissait confondu avec l'alliage de zirconium.</w:t>
      </w:r>
    </w:p>
    <w:p w:rsidR="00796797" w:rsidRDefault="00796797" w:rsidP="00796797"/>
    <w:p w:rsidR="00D1380E" w:rsidRDefault="00D1380E"/>
    <w:sectPr w:rsidR="00D1380E" w:rsidSect="00D1380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96797"/>
    <w:rsid w:val="00796797"/>
    <w:rsid w:val="00D138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380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1519</Characters>
  <Application>Microsoft Office Word</Application>
  <DocSecurity>0</DocSecurity>
  <Lines>12</Lines>
  <Paragraphs>3</Paragraphs>
  <ScaleCrop>false</ScaleCrop>
  <Company/>
  <LinksUpToDate>false</LinksUpToDate>
  <CharactersWithSpaces>1792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2014-12-02T09:46:00Z</dcterms:created>
  <dcterms:modified xsi:type="dcterms:W3CDTF">2014-12-02T09:47:00Z</dcterms:modified>
</cp:coreProperties>
</file>