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8C3" w:rsidRDefault="00C908C3" w:rsidP="00C908C3">
      <w:pPr>
        <w:jc w:val="both"/>
        <w:rPr>
          <w:sz w:val="20"/>
          <w:szCs w:val="20"/>
        </w:rPr>
      </w:pPr>
    </w:p>
    <w:p w:rsidR="00C908C3" w:rsidRDefault="00C908C3" w:rsidP="00C908C3">
      <w:pPr>
        <w:jc w:val="both"/>
        <w:rPr>
          <w:sz w:val="20"/>
          <w:szCs w:val="20"/>
        </w:rPr>
      </w:pPr>
    </w:p>
    <w:p w:rsidR="00C908C3" w:rsidRDefault="00C908C3" w:rsidP="00C908C3">
      <w:pPr>
        <w:jc w:val="both"/>
        <w:rPr>
          <w:sz w:val="20"/>
          <w:szCs w:val="20"/>
        </w:rPr>
      </w:pPr>
    </w:p>
    <w:p w:rsidR="00C908C3" w:rsidRDefault="00C908C3" w:rsidP="00C908C3">
      <w:pPr>
        <w:jc w:val="both"/>
        <w:rPr>
          <w:sz w:val="20"/>
          <w:szCs w:val="20"/>
        </w:rPr>
      </w:pPr>
    </w:p>
    <w:p w:rsidR="00C908C3" w:rsidRPr="00C908C3" w:rsidRDefault="00C908C3" w:rsidP="00C908C3">
      <w:pPr>
        <w:jc w:val="both"/>
        <w:rPr>
          <w:color w:val="FF0000"/>
          <w:sz w:val="20"/>
          <w:szCs w:val="20"/>
          <w:u w:val="single"/>
        </w:rPr>
      </w:pPr>
      <w:r w:rsidRPr="00C908C3">
        <w:rPr>
          <w:color w:val="FF0000"/>
          <w:sz w:val="20"/>
          <w:szCs w:val="20"/>
          <w:u w:val="single"/>
        </w:rPr>
        <w:t>Résumé</w:t>
      </w:r>
    </w:p>
    <w:p w:rsidR="00C908C3" w:rsidRDefault="00C908C3" w:rsidP="00C908C3">
      <w:pPr>
        <w:jc w:val="both"/>
        <w:rPr>
          <w:sz w:val="20"/>
          <w:szCs w:val="20"/>
        </w:rPr>
      </w:pPr>
    </w:p>
    <w:p w:rsidR="00C908C3" w:rsidRPr="00E932AF" w:rsidRDefault="00C908C3" w:rsidP="00C908C3">
      <w:pPr>
        <w:jc w:val="both"/>
        <w:rPr>
          <w:sz w:val="20"/>
          <w:szCs w:val="20"/>
        </w:rPr>
      </w:pPr>
      <w:r w:rsidRPr="00E932AF">
        <w:rPr>
          <w:sz w:val="20"/>
          <w:szCs w:val="20"/>
        </w:rPr>
        <w:t>Notre  travail porte sur l’étude de l’analyse de transfert de chaleur par convection naturelle avec une circulation des fluides dans les enceintes. Parmi ces travaux, un grand nombre touche à la simulation numérique des mécanismes de la convection naturelle en écoulement</w:t>
      </w:r>
      <w:r w:rsidR="0016468D">
        <w:rPr>
          <w:sz w:val="20"/>
          <w:szCs w:val="20"/>
        </w:rPr>
        <w:t xml:space="preserve"> laminaire et</w:t>
      </w:r>
      <w:r w:rsidRPr="00E932AF">
        <w:rPr>
          <w:sz w:val="20"/>
          <w:szCs w:val="20"/>
        </w:rPr>
        <w:t xml:space="preserve"> </w:t>
      </w:r>
      <w:r w:rsidR="0016468D">
        <w:rPr>
          <w:sz w:val="20"/>
          <w:szCs w:val="20"/>
        </w:rPr>
        <w:t>turbulent</w:t>
      </w:r>
      <w:r w:rsidRPr="00E932AF">
        <w:rPr>
          <w:sz w:val="20"/>
          <w:szCs w:val="20"/>
        </w:rPr>
        <w:t xml:space="preserve"> pour </w:t>
      </w:r>
      <w:r w:rsidR="0016468D">
        <w:rPr>
          <w:sz w:val="20"/>
          <w:szCs w:val="20"/>
        </w:rPr>
        <w:t>d</w:t>
      </w:r>
      <w:r w:rsidRPr="00E932AF">
        <w:rPr>
          <w:sz w:val="20"/>
          <w:szCs w:val="20"/>
        </w:rPr>
        <w:t>es cavités fermées.</w:t>
      </w:r>
    </w:p>
    <w:p w:rsidR="00C908C3" w:rsidRPr="00E932AF" w:rsidRDefault="00C908C3" w:rsidP="00C908C3">
      <w:pPr>
        <w:jc w:val="both"/>
        <w:rPr>
          <w:sz w:val="20"/>
          <w:szCs w:val="20"/>
        </w:rPr>
      </w:pPr>
      <w:r w:rsidRPr="00E932AF">
        <w:rPr>
          <w:sz w:val="20"/>
          <w:szCs w:val="20"/>
        </w:rPr>
        <w:t xml:space="preserve">Ces dans ce contexte que cette étude vient comme contribution par  l’étude numérique de la convection naturelle turbulente dans une enceinte verticale présentant  dans l’une de </w:t>
      </w:r>
      <w:r>
        <w:rPr>
          <w:sz w:val="20"/>
          <w:szCs w:val="20"/>
        </w:rPr>
        <w:t>s</w:t>
      </w:r>
      <w:r w:rsidRPr="00E932AF">
        <w:rPr>
          <w:sz w:val="20"/>
          <w:szCs w:val="20"/>
        </w:rPr>
        <w:t>es  parois verticales des protubérances sinusoïdales, et des ouvertures en bas et en haut  dans les parois verticales pour l’écoulement du fluide. Les parois horizontales étant supposées adiabatiques.</w:t>
      </w:r>
    </w:p>
    <w:p w:rsidR="00C908C3" w:rsidRPr="00E932AF" w:rsidRDefault="00C908C3" w:rsidP="00C908C3">
      <w:pPr>
        <w:jc w:val="both"/>
        <w:rPr>
          <w:sz w:val="20"/>
          <w:szCs w:val="20"/>
        </w:rPr>
      </w:pPr>
      <w:r w:rsidRPr="00E932AF">
        <w:rPr>
          <w:sz w:val="20"/>
          <w:szCs w:val="20"/>
        </w:rPr>
        <w:t>Nous nous intéressons à déterminer l’influence de la géométrie sur plusieurs facteurs tels que, les températures, le Nombre d</w:t>
      </w:r>
      <w:r>
        <w:rPr>
          <w:sz w:val="20"/>
          <w:szCs w:val="20"/>
        </w:rPr>
        <w:t>u</w:t>
      </w:r>
      <w:r w:rsidRPr="00E932AF">
        <w:rPr>
          <w:sz w:val="20"/>
          <w:szCs w:val="20"/>
        </w:rPr>
        <w:t xml:space="preserve"> Nusselt local, l’énergie cinétique turbulente k, ainsi que sa dissipation </w:t>
      </w:r>
      <w:r w:rsidRPr="00E932AF">
        <w:rPr>
          <w:rFonts w:ascii="Symbol" w:hAnsi="Symbol"/>
          <w:b/>
          <w:sz w:val="20"/>
          <w:szCs w:val="20"/>
        </w:rPr>
        <w:t></w:t>
      </w:r>
      <w:r w:rsidRPr="00E932AF">
        <w:rPr>
          <w:sz w:val="20"/>
          <w:szCs w:val="20"/>
        </w:rPr>
        <w:t>, pour différentes amplitudes et périodes</w:t>
      </w:r>
      <w:r>
        <w:rPr>
          <w:sz w:val="20"/>
          <w:szCs w:val="20"/>
        </w:rPr>
        <w:t xml:space="preserve">, </w:t>
      </w:r>
      <w:r w:rsidRPr="00E932AF">
        <w:rPr>
          <w:sz w:val="20"/>
          <w:szCs w:val="20"/>
        </w:rPr>
        <w:t>en se  basant sur les équations de Navier -Stokes et en adoptant l’approximation de Boussinesq, ces équations ont été résolues par la technique de CFD.</w:t>
      </w:r>
    </w:p>
    <w:p w:rsidR="00C908C3" w:rsidRPr="00E932AF" w:rsidRDefault="00C908C3" w:rsidP="00C908C3">
      <w:pPr>
        <w:jc w:val="both"/>
        <w:rPr>
          <w:color w:val="000000"/>
          <w:sz w:val="20"/>
          <w:szCs w:val="20"/>
        </w:rPr>
      </w:pPr>
      <w:r w:rsidRPr="00E932AF">
        <w:rPr>
          <w:color w:val="FF0000"/>
          <w:sz w:val="20"/>
          <w:szCs w:val="20"/>
        </w:rPr>
        <w:t> </w:t>
      </w:r>
    </w:p>
    <w:p w:rsidR="00BA6E83" w:rsidRDefault="00BA6E83"/>
    <w:sectPr w:rsidR="00BA6E83" w:rsidSect="00BA6E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C908C3"/>
    <w:rsid w:val="0016468D"/>
    <w:rsid w:val="00BA6E83"/>
    <w:rsid w:val="00C908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8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171</Words>
  <Characters>941</Characters>
  <Application>Microsoft Office Word</Application>
  <DocSecurity>0</DocSecurity>
  <Lines>7</Lines>
  <Paragraphs>2</Paragraphs>
  <ScaleCrop>false</ScaleCrop>
  <Company/>
  <LinksUpToDate>false</LinksUpToDate>
  <CharactersWithSpaces>1110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Sbaa Abdelkader</dc:creator>
  <cp:lastModifiedBy>Sbaa Abdelkader</cp:lastModifiedBy>
  <cp:revision>2</cp:revision>
  <dcterms:created xsi:type="dcterms:W3CDTF">2014-04-20T20:25:00Z</dcterms:created>
  <dcterms:modified xsi:type="dcterms:W3CDTF">2014-04-20T20:34:00Z</dcterms:modified>
</cp:coreProperties>
</file>