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422" w:rsidRPr="00CE1DD0" w:rsidRDefault="00C81422" w:rsidP="00C81422">
      <w:pPr>
        <w:autoSpaceDE w:val="0"/>
        <w:autoSpaceDN w:val="0"/>
        <w:adjustRightInd w:val="0"/>
        <w:jc w:val="both"/>
        <w:rPr>
          <w:b/>
          <w:bCs/>
          <w:color w:val="000000"/>
          <w:sz w:val="22"/>
          <w:szCs w:val="22"/>
        </w:rPr>
      </w:pPr>
      <w:r w:rsidRPr="00CE1DD0">
        <w:rPr>
          <w:b/>
          <w:bCs/>
          <w:color w:val="000000"/>
          <w:sz w:val="22"/>
          <w:szCs w:val="22"/>
        </w:rPr>
        <w:t>RESUME</w:t>
      </w:r>
    </w:p>
    <w:p w:rsidR="00C81422" w:rsidRDefault="00C81422" w:rsidP="00C81422">
      <w:pPr>
        <w:autoSpaceDE w:val="0"/>
        <w:autoSpaceDN w:val="0"/>
        <w:adjustRightInd w:val="0"/>
        <w:jc w:val="both"/>
        <w:rPr>
          <w:color w:val="000000"/>
          <w:sz w:val="22"/>
          <w:szCs w:val="22"/>
        </w:rPr>
      </w:pPr>
    </w:p>
    <w:p w:rsidR="00C81422" w:rsidRDefault="00C81422" w:rsidP="00C81422">
      <w:pPr>
        <w:autoSpaceDE w:val="0"/>
        <w:autoSpaceDN w:val="0"/>
        <w:adjustRightInd w:val="0"/>
        <w:jc w:val="both"/>
      </w:pPr>
      <w:r>
        <w:rPr>
          <w:color w:val="000000"/>
          <w:sz w:val="22"/>
          <w:szCs w:val="22"/>
        </w:rPr>
        <w:t xml:space="preserve">Notre étude a porté sur le rôle des cytokines et de monoxyde d’azote dans les dysfonctionnements immunitaires  et immunosurveillance des patients atteints de la maladie de Behçet. </w:t>
      </w:r>
      <w:r w:rsidRPr="00CE1DD0">
        <w:rPr>
          <w:sz w:val="22"/>
          <w:szCs w:val="22"/>
        </w:rPr>
        <w:t xml:space="preserve">Il apparait que </w:t>
      </w:r>
      <w:smartTag w:uri="urn:schemas-microsoft-com:office:smarttags" w:element="PersonName">
        <w:smartTagPr>
          <w:attr w:name="ProductID" w:val="la NOSII"/>
        </w:smartTagPr>
        <w:r w:rsidRPr="00CE1DD0">
          <w:rPr>
            <w:sz w:val="22"/>
            <w:szCs w:val="22"/>
          </w:rPr>
          <w:t>la NOSII</w:t>
        </w:r>
      </w:smartTag>
      <w:r w:rsidRPr="00CE1DD0">
        <w:rPr>
          <w:sz w:val="22"/>
          <w:szCs w:val="22"/>
        </w:rPr>
        <w:t xml:space="preserve"> soit ‘’up régulée’’ directement ou indirectement par les cytokines de la voieTh1. L’évaluation de l’augmentation concomitante de l’IL-12 et de l’IL-4  apparait  utile  dans  l’</w:t>
      </w:r>
      <w:proofErr w:type="spellStart"/>
      <w:r w:rsidRPr="00CE1DD0">
        <w:rPr>
          <w:sz w:val="22"/>
          <w:szCs w:val="22"/>
        </w:rPr>
        <w:t>immuno</w:t>
      </w:r>
      <w:proofErr w:type="spellEnd"/>
      <w:r w:rsidRPr="00CE1DD0">
        <w:rPr>
          <w:sz w:val="22"/>
          <w:szCs w:val="22"/>
        </w:rPr>
        <w:t>-surveillance des patients MB selon les stades évolutifs de la pathologie et également dans le suivi de l’efficacité de la thérapie admi</w:t>
      </w:r>
      <w:r>
        <w:rPr>
          <w:sz w:val="22"/>
          <w:szCs w:val="22"/>
        </w:rPr>
        <w:t>nistrée. L’utilisation de l’Anti-</w:t>
      </w:r>
      <w:r w:rsidRPr="00CE1DD0">
        <w:rPr>
          <w:sz w:val="22"/>
          <w:szCs w:val="22"/>
        </w:rPr>
        <w:t>TNF-</w:t>
      </w:r>
      <w:r w:rsidRPr="00CE1DD0">
        <w:rPr>
          <w:rFonts w:ascii="Symbol" w:hAnsi="Symbol"/>
          <w:sz w:val="22"/>
          <w:szCs w:val="22"/>
        </w:rPr>
        <w:t></w:t>
      </w:r>
      <w:r w:rsidRPr="00CE1DD0">
        <w:rPr>
          <w:rFonts w:ascii="Symbol" w:hAnsi="Symbol"/>
          <w:sz w:val="22"/>
          <w:szCs w:val="22"/>
        </w:rPr>
        <w:t></w:t>
      </w:r>
      <w:r w:rsidRPr="00CE1DD0">
        <w:rPr>
          <w:sz w:val="22"/>
          <w:szCs w:val="22"/>
        </w:rPr>
        <w:t xml:space="preserve"> engendre des réponses hétérogènes selon les manifestations cliniques de la maladie de Behçet. L’utilisation  des flavonoïdes extraits </w:t>
      </w:r>
      <w:r w:rsidRPr="00CE1DD0">
        <w:rPr>
          <w:rStyle w:val="hps"/>
          <w:color w:val="000000"/>
          <w:sz w:val="22"/>
          <w:szCs w:val="22"/>
        </w:rPr>
        <w:t>de</w:t>
      </w:r>
      <w:r w:rsidRPr="00CE1DD0">
        <w:rPr>
          <w:rStyle w:val="longtext"/>
          <w:color w:val="000000"/>
          <w:sz w:val="22"/>
          <w:szCs w:val="22"/>
        </w:rPr>
        <w:t xml:space="preserve"> </w:t>
      </w:r>
      <w:r w:rsidRPr="00CE1DD0">
        <w:rPr>
          <w:rStyle w:val="hps"/>
          <w:i/>
          <w:iCs/>
          <w:color w:val="000000"/>
          <w:sz w:val="22"/>
          <w:szCs w:val="22"/>
        </w:rPr>
        <w:t>A.</w:t>
      </w:r>
      <w:r w:rsidRPr="00CE1DD0">
        <w:rPr>
          <w:rStyle w:val="longtext"/>
          <w:i/>
          <w:color w:val="000000"/>
          <w:sz w:val="22"/>
          <w:szCs w:val="22"/>
        </w:rPr>
        <w:t xml:space="preserve"> </w:t>
      </w:r>
      <w:r w:rsidRPr="00CE1DD0">
        <w:rPr>
          <w:rStyle w:val="hps"/>
          <w:i/>
          <w:iCs/>
          <w:color w:val="000000"/>
          <w:sz w:val="22"/>
          <w:szCs w:val="22"/>
        </w:rPr>
        <w:t xml:space="preserve">herba alba </w:t>
      </w:r>
      <w:r w:rsidRPr="00CE1DD0">
        <w:rPr>
          <w:rStyle w:val="longtext"/>
          <w:color w:val="000000"/>
          <w:sz w:val="22"/>
          <w:szCs w:val="22"/>
        </w:rPr>
        <w:t xml:space="preserve"> </w:t>
      </w:r>
      <w:proofErr w:type="gramStart"/>
      <w:r w:rsidRPr="00CE1DD0">
        <w:rPr>
          <w:rStyle w:val="hps"/>
          <w:color w:val="000000"/>
          <w:sz w:val="22"/>
          <w:szCs w:val="22"/>
        </w:rPr>
        <w:t>a</w:t>
      </w:r>
      <w:proofErr w:type="gramEnd"/>
      <w:r w:rsidRPr="00CE1DD0">
        <w:rPr>
          <w:rStyle w:val="hps"/>
          <w:color w:val="000000"/>
          <w:sz w:val="22"/>
          <w:szCs w:val="22"/>
        </w:rPr>
        <w:t xml:space="preserve">  un effet  sur l'inhibition</w:t>
      </w:r>
      <w:r w:rsidRPr="00CE1DD0">
        <w:rPr>
          <w:rStyle w:val="longtext"/>
          <w:color w:val="000000"/>
          <w:sz w:val="22"/>
          <w:szCs w:val="22"/>
        </w:rPr>
        <w:t xml:space="preserve"> </w:t>
      </w:r>
      <w:r w:rsidRPr="00CE1DD0">
        <w:rPr>
          <w:rStyle w:val="hps"/>
          <w:color w:val="000000"/>
          <w:sz w:val="22"/>
          <w:szCs w:val="22"/>
        </w:rPr>
        <w:t>et la stimulation de</w:t>
      </w:r>
      <w:r w:rsidRPr="00CE1DD0">
        <w:rPr>
          <w:rStyle w:val="longtext"/>
          <w:color w:val="000000"/>
          <w:sz w:val="22"/>
          <w:szCs w:val="22"/>
        </w:rPr>
        <w:t xml:space="preserve"> </w:t>
      </w:r>
      <w:r w:rsidRPr="00CE1DD0">
        <w:rPr>
          <w:rStyle w:val="hps"/>
          <w:color w:val="000000"/>
          <w:sz w:val="22"/>
          <w:szCs w:val="22"/>
        </w:rPr>
        <w:t>la production d'IL</w:t>
      </w:r>
      <w:r w:rsidRPr="00CE1DD0">
        <w:rPr>
          <w:rStyle w:val="longtext"/>
          <w:color w:val="000000"/>
          <w:sz w:val="22"/>
          <w:szCs w:val="22"/>
        </w:rPr>
        <w:t xml:space="preserve">-12 et </w:t>
      </w:r>
      <w:r w:rsidRPr="00CE1DD0">
        <w:rPr>
          <w:rStyle w:val="hps"/>
          <w:color w:val="000000"/>
          <w:sz w:val="22"/>
          <w:szCs w:val="22"/>
        </w:rPr>
        <w:t>de l'IL</w:t>
      </w:r>
      <w:r w:rsidRPr="00CE1DD0">
        <w:rPr>
          <w:rStyle w:val="longtext"/>
          <w:color w:val="000000"/>
          <w:sz w:val="22"/>
          <w:szCs w:val="22"/>
        </w:rPr>
        <w:t xml:space="preserve">-4,  </w:t>
      </w:r>
      <w:r w:rsidRPr="00CE1DD0">
        <w:rPr>
          <w:rStyle w:val="hps"/>
          <w:color w:val="000000"/>
          <w:sz w:val="22"/>
          <w:szCs w:val="22"/>
        </w:rPr>
        <w:t>respectivement</w:t>
      </w:r>
      <w:r w:rsidRPr="00CE1DD0">
        <w:rPr>
          <w:rStyle w:val="longtext"/>
          <w:color w:val="000000"/>
          <w:sz w:val="22"/>
          <w:szCs w:val="22"/>
        </w:rPr>
        <w:t xml:space="preserve">. </w:t>
      </w:r>
    </w:p>
    <w:p w:rsidR="00452E40" w:rsidRDefault="00452E40"/>
    <w:sectPr w:rsidR="00452E40" w:rsidSect="00452E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81422"/>
    <w:rsid w:val="00452E40"/>
    <w:rsid w:val="00C814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142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longtext">
    <w:name w:val="long_text"/>
    <w:basedOn w:val="Policepardfaut"/>
    <w:rsid w:val="00C81422"/>
  </w:style>
  <w:style w:type="character" w:customStyle="1" w:styleId="hps">
    <w:name w:val="hps"/>
    <w:basedOn w:val="Policepardfaut"/>
    <w:rsid w:val="00C814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127</Words>
  <Characters>702</Characters>
  <Application>Microsoft Office Word</Application>
  <DocSecurity>0</DocSecurity>
  <Lines>5</Lines>
  <Paragraphs>1</Paragraphs>
  <ScaleCrop>false</ScaleCrop>
  <Company/>
  <LinksUpToDate>false</LinksUpToDate>
  <CharactersWithSpaces>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Heaven</dc:creator>
  <cp:keywords/>
  <dc:description/>
  <cp:lastModifiedBy>Heaven</cp:lastModifiedBy>
  <cp:revision>1</cp:revision>
  <dcterms:created xsi:type="dcterms:W3CDTF">2013-06-03T21:12:00Z</dcterms:created>
  <dcterms:modified xsi:type="dcterms:W3CDTF">2013-06-03T21:21:00Z</dcterms:modified>
</cp:coreProperties>
</file>