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36D5" w:rsidRPr="00F55CB0" w:rsidRDefault="00655879" w:rsidP="00655879">
      <w:pPr>
        <w:jc w:val="center"/>
        <w:rPr>
          <w:rFonts w:asciiTheme="majorBidi" w:hAnsiTheme="majorBidi" w:cstheme="majorBidi"/>
          <w:b/>
          <w:bCs/>
          <w:sz w:val="28"/>
          <w:szCs w:val="28"/>
        </w:rPr>
      </w:pPr>
      <w:r w:rsidRPr="00F55CB0">
        <w:rPr>
          <w:rFonts w:asciiTheme="majorBidi" w:hAnsiTheme="majorBidi" w:cstheme="majorBidi"/>
          <w:b/>
          <w:bCs/>
          <w:sz w:val="28"/>
          <w:szCs w:val="28"/>
        </w:rPr>
        <w:t>Résumé</w:t>
      </w:r>
    </w:p>
    <w:p w:rsidR="008C36D5" w:rsidRPr="00F55CB0" w:rsidRDefault="008C36D5" w:rsidP="008C36D5">
      <w:pPr>
        <w:spacing w:after="0" w:line="240" w:lineRule="auto"/>
        <w:jc w:val="both"/>
        <w:rPr>
          <w:rFonts w:ascii="Times New Roman" w:eastAsia="Times New Roman" w:hAnsi="Times New Roman" w:cs="Times New Roman"/>
          <w:sz w:val="28"/>
          <w:szCs w:val="28"/>
          <w:lang w:eastAsia="fr-FR"/>
        </w:rPr>
      </w:pPr>
      <w:r w:rsidRPr="00F55CB0">
        <w:rPr>
          <w:rFonts w:ascii="Times New Roman" w:eastAsia="Times New Roman" w:hAnsi="Times New Roman" w:cs="Times New Roman"/>
          <w:sz w:val="28"/>
          <w:szCs w:val="28"/>
          <w:lang w:eastAsia="fr-FR"/>
        </w:rPr>
        <w:t xml:space="preserve">La valeur de la gravité </w:t>
      </w:r>
      <w:r w:rsidRPr="00F55CB0">
        <w:rPr>
          <w:rFonts w:ascii="Times New Roman" w:eastAsia="Times New Roman" w:hAnsi="Times New Roman" w:cs="Times New Roman"/>
          <w:i/>
          <w:iCs/>
          <w:sz w:val="28"/>
          <w:szCs w:val="28"/>
          <w:lang w:eastAsia="fr-FR"/>
        </w:rPr>
        <w:t>g</w:t>
      </w:r>
      <w:r w:rsidRPr="00F55CB0">
        <w:rPr>
          <w:rFonts w:ascii="Times New Roman" w:eastAsia="Times New Roman" w:hAnsi="Times New Roman" w:cs="Times New Roman"/>
          <w:sz w:val="28"/>
          <w:szCs w:val="28"/>
          <w:lang w:eastAsia="fr-FR"/>
        </w:rPr>
        <w:t xml:space="preserve"> d’une station absolue mesuré par la nouvelle génération des gravimètres absolus à haute précision (1µGal) tel que le FG5, le A-10 et autres, doivent être rattachés au sol. Dans le cas de l’Algérie, le réseau gravimétrique absolu contient 12 points absolus observés par le gravimètre absolu de type FG5-111 avec des précisions qui sont comprises entre 0.7 µGal (In Salah) et 2.9 µGal (Oran), la valeur de la gravité </w:t>
      </w:r>
      <w:r w:rsidRPr="00F55CB0">
        <w:rPr>
          <w:rFonts w:ascii="Times New Roman" w:eastAsia="Times New Roman" w:hAnsi="Times New Roman" w:cs="Times New Roman"/>
          <w:i/>
          <w:iCs/>
          <w:sz w:val="28"/>
          <w:szCs w:val="28"/>
          <w:lang w:eastAsia="fr-FR"/>
        </w:rPr>
        <w:t>g</w:t>
      </w:r>
      <w:r w:rsidRPr="00F55CB0">
        <w:rPr>
          <w:rFonts w:ascii="Times New Roman" w:eastAsia="Times New Roman" w:hAnsi="Times New Roman" w:cs="Times New Roman"/>
          <w:sz w:val="28"/>
          <w:szCs w:val="28"/>
          <w:lang w:eastAsia="fr-FR"/>
        </w:rPr>
        <w:t xml:space="preserve"> au niveau de chaque station absolu est donnée à 130 cm. Le but de ce travail est de rattacher au sol quelques points absolus. </w:t>
      </w:r>
    </w:p>
    <w:p w:rsidR="008C36D5" w:rsidRPr="00F55CB0" w:rsidRDefault="008C36D5" w:rsidP="008C36D5">
      <w:pPr>
        <w:spacing w:after="0" w:line="240" w:lineRule="auto"/>
        <w:jc w:val="both"/>
        <w:rPr>
          <w:rFonts w:ascii="Times New Roman" w:eastAsia="Times New Roman" w:hAnsi="Times New Roman" w:cs="Times New Roman"/>
          <w:sz w:val="28"/>
          <w:szCs w:val="28"/>
          <w:lang w:eastAsia="fr-FR"/>
        </w:rPr>
      </w:pPr>
    </w:p>
    <w:p w:rsidR="008C36D5" w:rsidRPr="00F55CB0" w:rsidRDefault="008C36D5" w:rsidP="008C36D5">
      <w:pPr>
        <w:spacing w:after="0" w:line="240" w:lineRule="auto"/>
        <w:jc w:val="both"/>
        <w:rPr>
          <w:rFonts w:ascii="Times New Roman" w:eastAsia="Times New Roman" w:hAnsi="Times New Roman" w:cs="Times New Roman"/>
          <w:sz w:val="28"/>
          <w:szCs w:val="28"/>
          <w:lang w:eastAsia="fr-FR"/>
        </w:rPr>
      </w:pPr>
      <w:r w:rsidRPr="00F55CB0">
        <w:rPr>
          <w:rFonts w:ascii="Times New Roman" w:eastAsia="Times New Roman" w:hAnsi="Times New Roman" w:cs="Times New Roman"/>
          <w:sz w:val="28"/>
          <w:szCs w:val="28"/>
          <w:lang w:eastAsia="fr-FR"/>
        </w:rPr>
        <w:t xml:space="preserve">La seule et unique technique de rattachement c’est le calcul du gradient vertical (VG) entre deux niveaux, le niveau du sol (niveau 0) et le niveau d’altitude de la mesure donnée par le gravimètre absolue FG5-111 à 130 cm (niveau 1). Pour cela on a utilisé quatre gravimètres de l’INCT de type LCR model G tel que G1140, G1152, G856 et G857 équipés par le system MVR. </w:t>
      </w:r>
    </w:p>
    <w:p w:rsidR="008C36D5" w:rsidRPr="00F55CB0" w:rsidRDefault="008C36D5" w:rsidP="008C36D5">
      <w:pPr>
        <w:spacing w:after="0" w:line="240" w:lineRule="auto"/>
        <w:jc w:val="both"/>
        <w:rPr>
          <w:rFonts w:ascii="Times New Roman" w:eastAsia="Times New Roman" w:hAnsi="Times New Roman" w:cs="Times New Roman"/>
          <w:sz w:val="28"/>
          <w:szCs w:val="28"/>
          <w:lang w:eastAsia="fr-FR"/>
        </w:rPr>
      </w:pPr>
    </w:p>
    <w:p w:rsidR="008C36D5" w:rsidRPr="00F55CB0" w:rsidRDefault="008C36D5" w:rsidP="008C36D5">
      <w:pPr>
        <w:spacing w:line="240" w:lineRule="auto"/>
        <w:jc w:val="both"/>
        <w:rPr>
          <w:rFonts w:asciiTheme="majorBidi" w:eastAsia="Batang" w:hAnsiTheme="majorBidi" w:cstheme="majorBidi"/>
          <w:sz w:val="28"/>
          <w:szCs w:val="28"/>
        </w:rPr>
      </w:pPr>
      <w:r w:rsidRPr="00F55CB0">
        <w:rPr>
          <w:rFonts w:ascii="Times New Roman" w:eastAsia="Times New Roman" w:hAnsi="Times New Roman" w:cs="Times New Roman"/>
          <w:sz w:val="28"/>
          <w:szCs w:val="28"/>
          <w:lang w:eastAsia="fr-FR"/>
        </w:rPr>
        <w:t>Dans cette étude et parmi les 12 points absolus, on a utilisé quatre (04) points absolue, il s’agit du CRAAG, de Bechar, de Ghardaïa et d’Oran. Dont deux gravimètres de type LCR-</w:t>
      </w:r>
      <w:r w:rsidRPr="00F55CB0">
        <w:rPr>
          <w:rFonts w:asciiTheme="majorBidi" w:eastAsia="Batang" w:hAnsiTheme="majorBidi" w:cstheme="majorBidi"/>
          <w:sz w:val="28"/>
          <w:szCs w:val="28"/>
        </w:rPr>
        <w:t xml:space="preserve"> G1140-G1152 avec 11 séries de mesures pour chaque gravimètre au CRAAG, </w:t>
      </w:r>
      <w:r w:rsidRPr="00F55CB0">
        <w:rPr>
          <w:rFonts w:ascii="Times New Roman" w:eastAsia="Times New Roman" w:hAnsi="Times New Roman" w:cs="Times New Roman"/>
          <w:sz w:val="28"/>
          <w:szCs w:val="28"/>
          <w:lang w:eastAsia="fr-FR"/>
        </w:rPr>
        <w:t>quatre gravimètres de type</w:t>
      </w:r>
      <w:r w:rsidRPr="00F55CB0">
        <w:rPr>
          <w:rFonts w:asciiTheme="majorBidi" w:eastAsia="Batang" w:hAnsiTheme="majorBidi" w:cstheme="majorBidi"/>
          <w:sz w:val="28"/>
          <w:szCs w:val="28"/>
        </w:rPr>
        <w:t xml:space="preserve"> </w:t>
      </w:r>
      <w:r w:rsidRPr="00F55CB0">
        <w:rPr>
          <w:rFonts w:ascii="Times New Roman" w:eastAsia="Times New Roman" w:hAnsi="Times New Roman" w:cs="Times New Roman"/>
          <w:sz w:val="28"/>
          <w:szCs w:val="28"/>
          <w:lang w:eastAsia="fr-FR"/>
        </w:rPr>
        <w:t>LCR-</w:t>
      </w:r>
      <w:r w:rsidRPr="00F55CB0">
        <w:rPr>
          <w:rFonts w:asciiTheme="majorBidi" w:eastAsia="Batang" w:hAnsiTheme="majorBidi" w:cstheme="majorBidi"/>
          <w:sz w:val="28"/>
          <w:szCs w:val="28"/>
        </w:rPr>
        <w:t xml:space="preserve"> G857-G856-G1140-G1152 avec 09 séries de mesures pour chaque gravimètre à Bechar, </w:t>
      </w:r>
      <w:r w:rsidRPr="00F55CB0">
        <w:rPr>
          <w:rFonts w:ascii="Times New Roman" w:eastAsia="Times New Roman" w:hAnsi="Times New Roman" w:cs="Times New Roman"/>
          <w:sz w:val="28"/>
          <w:szCs w:val="28"/>
          <w:lang w:eastAsia="fr-FR"/>
        </w:rPr>
        <w:t>deux gravimètres de type LCR-</w:t>
      </w:r>
      <w:r w:rsidRPr="00F55CB0">
        <w:rPr>
          <w:rFonts w:asciiTheme="majorBidi" w:eastAsia="Batang" w:hAnsiTheme="majorBidi" w:cstheme="majorBidi"/>
          <w:sz w:val="28"/>
          <w:szCs w:val="28"/>
        </w:rPr>
        <w:t xml:space="preserve"> G1140-G856 avec 11 séries de mesures pour chaque gravimètre au CRAAG et </w:t>
      </w:r>
      <w:r w:rsidRPr="00F55CB0">
        <w:rPr>
          <w:rFonts w:ascii="Times New Roman" w:eastAsia="Times New Roman" w:hAnsi="Times New Roman" w:cs="Times New Roman"/>
          <w:sz w:val="28"/>
          <w:szCs w:val="28"/>
          <w:lang w:eastAsia="fr-FR"/>
        </w:rPr>
        <w:t>deux gravimètres de type LCR-</w:t>
      </w:r>
      <w:r w:rsidRPr="00F55CB0">
        <w:rPr>
          <w:rFonts w:asciiTheme="majorBidi" w:eastAsia="Batang" w:hAnsiTheme="majorBidi" w:cstheme="majorBidi"/>
          <w:sz w:val="28"/>
          <w:szCs w:val="28"/>
        </w:rPr>
        <w:t xml:space="preserve"> G856-G1152 avec 11 séries de mesures pour chaque gravimètre à Ghardaïa.</w:t>
      </w:r>
    </w:p>
    <w:p w:rsidR="008C36D5" w:rsidRPr="00F55CB0" w:rsidRDefault="008C36D5" w:rsidP="008C36D5">
      <w:pPr>
        <w:spacing w:line="240" w:lineRule="auto"/>
        <w:jc w:val="both"/>
        <w:rPr>
          <w:rFonts w:asciiTheme="majorBidi" w:eastAsia="Batang" w:hAnsiTheme="majorBidi" w:cstheme="majorBidi"/>
          <w:sz w:val="28"/>
          <w:szCs w:val="28"/>
        </w:rPr>
      </w:pPr>
      <w:r w:rsidRPr="00F55CB0">
        <w:rPr>
          <w:rFonts w:asciiTheme="majorBidi" w:eastAsia="Batang" w:hAnsiTheme="majorBidi" w:cstheme="majorBidi"/>
          <w:sz w:val="28"/>
          <w:szCs w:val="28"/>
        </w:rPr>
        <w:t>Le traitement et l’analyse des données du gradient de quatre site absolus a conduit à la nécessité d’utiliser plusieurs niveaux d’observation, et utiliser des gravimètres de différente firmes et de même ordre de précision que les gravimètres absolus.</w:t>
      </w:r>
    </w:p>
    <w:p w:rsidR="00927AF8" w:rsidRDefault="00927AF8">
      <w:bookmarkStart w:id="0" w:name="_GoBack"/>
      <w:bookmarkEnd w:id="0"/>
    </w:p>
    <w:sectPr w:rsidR="00927AF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36D5"/>
    <w:rsid w:val="00655879"/>
    <w:rsid w:val="008C36D5"/>
    <w:rsid w:val="00927AF8"/>
    <w:rsid w:val="00F55CB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5D523A9-58A0-4F1F-9756-707424A71A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36D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271</Words>
  <Characters>1496</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INCT</Company>
  <LinksUpToDate>false</LinksUpToDate>
  <CharactersWithSpaces>1764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TOSHIBA</cp:lastModifiedBy>
  <cp:revision>3</cp:revision>
  <dcterms:created xsi:type="dcterms:W3CDTF">2015-03-04T10:04:00Z</dcterms:created>
  <dcterms:modified xsi:type="dcterms:W3CDTF">2015-03-04T10:07:00Z</dcterms:modified>
</cp:coreProperties>
</file>