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CA9" w:rsidRDefault="00390CA9" w:rsidP="00390CA9">
      <w:pPr>
        <w:autoSpaceDE w:val="0"/>
        <w:autoSpaceDN w:val="0"/>
        <w:adjustRightInd w:val="0"/>
        <w:spacing w:after="0" w:line="360" w:lineRule="auto"/>
        <w:ind w:left="-567" w:right="-567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AC0C7E">
        <w:rPr>
          <w:rFonts w:asciiTheme="majorBidi" w:hAnsiTheme="majorBidi" w:cstheme="majorBidi"/>
          <w:b/>
          <w:bCs/>
          <w:sz w:val="28"/>
          <w:szCs w:val="28"/>
        </w:rPr>
        <w:t>RÉSUMÉ</w:t>
      </w:r>
    </w:p>
    <w:p w:rsidR="00390CA9" w:rsidRPr="00AC0C7E" w:rsidRDefault="00390CA9" w:rsidP="00390CA9">
      <w:pPr>
        <w:autoSpaceDE w:val="0"/>
        <w:autoSpaceDN w:val="0"/>
        <w:adjustRightInd w:val="0"/>
        <w:spacing w:after="0" w:line="360" w:lineRule="auto"/>
        <w:ind w:left="-567" w:right="-567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bookmarkStart w:id="0" w:name="_GoBack"/>
      <w:bookmarkEnd w:id="0"/>
    </w:p>
    <w:p w:rsidR="00390CA9" w:rsidRPr="00390CA9" w:rsidRDefault="00390CA9" w:rsidP="00390CA9">
      <w:pPr>
        <w:autoSpaceDE w:val="0"/>
        <w:autoSpaceDN w:val="0"/>
        <w:adjustRightInd w:val="0"/>
        <w:spacing w:after="0" w:line="360" w:lineRule="auto"/>
        <w:ind w:left="-567" w:right="-567"/>
        <w:jc w:val="both"/>
        <w:rPr>
          <w:rFonts w:asciiTheme="majorBidi" w:eastAsia="ArialMT" w:hAnsiTheme="majorBidi" w:cstheme="majorBidi"/>
          <w:sz w:val="24"/>
          <w:szCs w:val="24"/>
        </w:rPr>
      </w:pPr>
      <w:r>
        <w:rPr>
          <w:rFonts w:asciiTheme="majorBidi" w:eastAsia="ArialMT" w:hAnsiTheme="majorBidi" w:cstheme="majorBidi"/>
          <w:sz w:val="24"/>
          <w:szCs w:val="24"/>
        </w:rPr>
        <w:tab/>
      </w:r>
      <w:r w:rsidRPr="00390CA9">
        <w:rPr>
          <w:rFonts w:asciiTheme="majorBidi" w:eastAsia="ArialMT" w:hAnsiTheme="majorBidi" w:cstheme="majorBidi"/>
          <w:sz w:val="24"/>
          <w:szCs w:val="24"/>
        </w:rPr>
        <w:t>Un durcissement superficiel d’une fonte FGS 400-15, a été réalisé par un traitement thermochimique de boruration en phase solide à l’aide d’une poudre à base de carbure de bore (B</w:t>
      </w:r>
      <w:r w:rsidRPr="00390CA9">
        <w:rPr>
          <w:rFonts w:asciiTheme="majorBidi" w:eastAsia="ArialMT" w:hAnsiTheme="majorBidi" w:cstheme="majorBidi"/>
          <w:sz w:val="24"/>
          <w:szCs w:val="24"/>
          <w:vertAlign w:val="subscript"/>
        </w:rPr>
        <w:t>4</w:t>
      </w:r>
      <w:r w:rsidRPr="00390CA9">
        <w:rPr>
          <w:rFonts w:asciiTheme="majorBidi" w:eastAsia="ArialMT" w:hAnsiTheme="majorBidi" w:cstheme="majorBidi"/>
          <w:sz w:val="24"/>
          <w:szCs w:val="24"/>
        </w:rPr>
        <w:t>C), à des températures de 800, 900 et 1000°C pendant 2, 4 et 6 h.</w:t>
      </w:r>
      <w:r>
        <w:rPr>
          <w:rFonts w:asciiTheme="majorBidi" w:eastAsia="ArialMT" w:hAnsiTheme="majorBidi" w:cstheme="majorBidi"/>
          <w:sz w:val="24"/>
          <w:szCs w:val="24"/>
        </w:rPr>
        <w:t xml:space="preserve"> </w:t>
      </w:r>
      <w:r w:rsidRPr="00390CA9">
        <w:rPr>
          <w:rFonts w:asciiTheme="majorBidi" w:eastAsia="ArialMT" w:hAnsiTheme="majorBidi" w:cstheme="majorBidi"/>
          <w:sz w:val="24"/>
          <w:szCs w:val="24"/>
        </w:rPr>
        <w:t>Le durcissement consiste à former des borures sur la fonte, lors du traitement thermochimique où les borures formés sont de types : FeB et Fe</w:t>
      </w:r>
      <w:r w:rsidRPr="00390CA9">
        <w:rPr>
          <w:rFonts w:asciiTheme="majorBidi" w:eastAsia="ArialMT" w:hAnsiTheme="majorBidi" w:cstheme="majorBidi"/>
          <w:sz w:val="24"/>
          <w:szCs w:val="24"/>
          <w:vertAlign w:val="subscript"/>
        </w:rPr>
        <w:t>2</w:t>
      </w:r>
      <w:r w:rsidRPr="00390CA9">
        <w:rPr>
          <w:rFonts w:asciiTheme="majorBidi" w:eastAsia="ArialMT" w:hAnsiTheme="majorBidi" w:cstheme="majorBidi"/>
          <w:sz w:val="24"/>
          <w:szCs w:val="24"/>
        </w:rPr>
        <w:t xml:space="preserve">B. </w:t>
      </w:r>
    </w:p>
    <w:p w:rsidR="00390CA9" w:rsidRPr="00390CA9" w:rsidRDefault="00390CA9" w:rsidP="00390CA9">
      <w:pPr>
        <w:autoSpaceDE w:val="0"/>
        <w:autoSpaceDN w:val="0"/>
        <w:adjustRightInd w:val="0"/>
        <w:spacing w:after="0" w:line="360" w:lineRule="auto"/>
        <w:ind w:left="-567" w:right="-567"/>
        <w:jc w:val="both"/>
        <w:rPr>
          <w:rFonts w:asciiTheme="majorBidi" w:eastAsia="ArialMT" w:hAnsiTheme="majorBidi" w:cstheme="majorBidi"/>
          <w:sz w:val="24"/>
          <w:szCs w:val="24"/>
        </w:rPr>
      </w:pPr>
      <w:r w:rsidRPr="00390CA9">
        <w:rPr>
          <w:rFonts w:asciiTheme="majorBidi" w:eastAsia="ArialMT" w:hAnsiTheme="majorBidi" w:cstheme="majorBidi"/>
          <w:sz w:val="24"/>
          <w:szCs w:val="24"/>
        </w:rPr>
        <w:t xml:space="preserve">Les caractérisations microstructurales ont permis de voir la morphologie de la couche borurée formée à l’interface avec le substrat, d’évaluer l’épaisseur de cette couche et d’identifier la nature des borures </w:t>
      </w:r>
      <w:r>
        <w:rPr>
          <w:rFonts w:asciiTheme="majorBidi" w:eastAsia="ArialMT" w:hAnsiTheme="majorBidi" w:cstheme="majorBidi"/>
          <w:sz w:val="24"/>
          <w:szCs w:val="24"/>
        </w:rPr>
        <w:t xml:space="preserve">qui composent cette couche. </w:t>
      </w:r>
      <w:r w:rsidRPr="00390CA9">
        <w:rPr>
          <w:rFonts w:asciiTheme="majorBidi" w:eastAsia="ArialMT" w:hAnsiTheme="majorBidi" w:cstheme="majorBidi"/>
          <w:sz w:val="24"/>
          <w:szCs w:val="24"/>
        </w:rPr>
        <w:t>Les résultats montrent que  D augmente avec l’augmentation de la température de traitement. L’énergie d’activation du bore a été estimé à 209 KJ/mole pour la fonte FGS 400-15.</w:t>
      </w:r>
    </w:p>
    <w:p w:rsidR="00390CA9" w:rsidRPr="00390CA9" w:rsidRDefault="00390CA9" w:rsidP="00390CA9">
      <w:pPr>
        <w:autoSpaceDE w:val="0"/>
        <w:autoSpaceDN w:val="0"/>
        <w:adjustRightInd w:val="0"/>
        <w:spacing w:after="0" w:line="360" w:lineRule="auto"/>
        <w:ind w:left="-567" w:right="-567"/>
        <w:jc w:val="both"/>
        <w:rPr>
          <w:rFonts w:asciiTheme="majorBidi" w:eastAsia="ArialMT" w:hAnsiTheme="majorBidi" w:cstheme="majorBidi"/>
          <w:sz w:val="24"/>
          <w:szCs w:val="24"/>
        </w:rPr>
      </w:pPr>
    </w:p>
    <w:p w:rsidR="00DD18AE" w:rsidRPr="00390CA9" w:rsidRDefault="00DD18AE" w:rsidP="00390CA9">
      <w:pPr>
        <w:ind w:left="-567" w:right="-567"/>
        <w:rPr>
          <w:sz w:val="20"/>
          <w:szCs w:val="20"/>
        </w:rPr>
      </w:pPr>
    </w:p>
    <w:sectPr w:rsidR="00DD18AE" w:rsidRPr="00390C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CA9"/>
    <w:rsid w:val="00390CA9"/>
    <w:rsid w:val="00DD1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CA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CA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125</Words>
  <Characters>691</Characters>
  <Application>Microsoft Office Word</Application>
  <DocSecurity>0</DocSecurity>
  <Lines>5</Lines>
  <Paragraphs>1</Paragraphs>
  <ScaleCrop>false</ScaleCrop>
  <Company/>
  <LinksUpToDate>false</LinksUpToDate>
  <CharactersWithSpaces>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Houssem</dc:creator>
  <cp:lastModifiedBy>Houssem</cp:lastModifiedBy>
  <cp:revision>1</cp:revision>
  <dcterms:created xsi:type="dcterms:W3CDTF">2016-04-23T17:34:00Z</dcterms:created>
  <dcterms:modified xsi:type="dcterms:W3CDTF">2016-04-23T17:40:00Z</dcterms:modified>
</cp:coreProperties>
</file>