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897" w:rsidRDefault="00B46897" w:rsidP="00FC0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46897" w:rsidRDefault="00B46897" w:rsidP="00FC0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46897" w:rsidRDefault="00B46897" w:rsidP="00FC0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C0C11" w:rsidRPr="00FC0C11" w:rsidRDefault="00FC0C11" w:rsidP="00FC0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C0C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Résumé : </w:t>
      </w:r>
    </w:p>
    <w:p w:rsidR="00B46897" w:rsidRDefault="00B46897" w:rsidP="00B4689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E60A4" w:rsidRPr="00D74E64" w:rsidRDefault="00FC0C11" w:rsidP="00B468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0C11">
        <w:rPr>
          <w:rFonts w:ascii="Times New Roman" w:hAnsi="Times New Roman" w:cs="Times New Roman"/>
          <w:color w:val="000000"/>
          <w:sz w:val="24"/>
          <w:szCs w:val="24"/>
        </w:rPr>
        <w:t>Ce</w:t>
      </w:r>
      <w:r w:rsidR="00461FE3">
        <w:rPr>
          <w:rFonts w:ascii="Times New Roman" w:hAnsi="Times New Roman" w:cs="Times New Roman"/>
          <w:color w:val="000000"/>
          <w:sz w:val="24"/>
          <w:szCs w:val="24"/>
        </w:rPr>
        <w:t>tte</w:t>
      </w:r>
      <w:r w:rsidRPr="00FC0C1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61FE3">
        <w:rPr>
          <w:rFonts w:ascii="Times New Roman" w:hAnsi="Times New Roman" w:cs="Times New Roman"/>
          <w:color w:val="000000"/>
          <w:sz w:val="24"/>
          <w:szCs w:val="24"/>
        </w:rPr>
        <w:t>thèse</w:t>
      </w:r>
      <w:r w:rsidRPr="00FC0C11">
        <w:rPr>
          <w:rFonts w:ascii="Times New Roman" w:hAnsi="Times New Roman" w:cs="Times New Roman"/>
          <w:color w:val="000000"/>
          <w:sz w:val="24"/>
          <w:szCs w:val="24"/>
        </w:rPr>
        <w:t xml:space="preserve"> contribue à l’</w:t>
      </w:r>
      <w:r w:rsidRPr="00D74E64">
        <w:rPr>
          <w:rFonts w:ascii="Times New Roman" w:hAnsi="Times New Roman" w:cs="Times New Roman"/>
          <w:color w:val="000000"/>
          <w:sz w:val="24"/>
          <w:szCs w:val="24"/>
        </w:rPr>
        <w:t>étude</w:t>
      </w:r>
      <w:r w:rsidRPr="00FC0C11">
        <w:rPr>
          <w:rFonts w:ascii="Times New Roman" w:hAnsi="Times New Roman" w:cs="Times New Roman"/>
          <w:color w:val="000000"/>
          <w:sz w:val="24"/>
          <w:szCs w:val="24"/>
        </w:rPr>
        <w:t xml:space="preserve"> d’une source de stockage hybride embarquée alimentant un véhicule électrique</w:t>
      </w:r>
      <w:r w:rsidRPr="00D74E64">
        <w:rPr>
          <w:rFonts w:ascii="Times New Roman" w:hAnsi="Times New Roman" w:cs="Times New Roman"/>
          <w:color w:val="000000"/>
          <w:sz w:val="24"/>
          <w:szCs w:val="24"/>
        </w:rPr>
        <w:t xml:space="preserve"> urbain</w:t>
      </w:r>
      <w:r w:rsidRPr="00FC0C1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D74E64">
        <w:rPr>
          <w:rFonts w:ascii="Times New Roman" w:hAnsi="Times New Roman" w:cs="Times New Roman"/>
          <w:color w:val="000000"/>
          <w:sz w:val="24"/>
          <w:szCs w:val="24"/>
        </w:rPr>
        <w:t>Elle</w:t>
      </w:r>
      <w:r w:rsidRPr="00FC0C11">
        <w:rPr>
          <w:rFonts w:ascii="Times New Roman" w:hAnsi="Times New Roman" w:cs="Times New Roman"/>
          <w:color w:val="000000"/>
          <w:sz w:val="24"/>
          <w:szCs w:val="24"/>
        </w:rPr>
        <w:t xml:space="preserve"> e</w:t>
      </w:r>
      <w:r w:rsidRPr="00D74E64">
        <w:rPr>
          <w:rFonts w:ascii="Times New Roman" w:hAnsi="Times New Roman" w:cs="Times New Roman"/>
          <w:color w:val="000000"/>
          <w:sz w:val="24"/>
          <w:szCs w:val="24"/>
        </w:rPr>
        <w:t xml:space="preserve">st composée de l’association d’une pile à combustible avec des </w:t>
      </w:r>
      <w:r w:rsidRPr="00FC0C11">
        <w:rPr>
          <w:rFonts w:ascii="Times New Roman" w:hAnsi="Times New Roman" w:cs="Times New Roman"/>
          <w:color w:val="000000"/>
          <w:sz w:val="24"/>
          <w:szCs w:val="24"/>
        </w:rPr>
        <w:t xml:space="preserve">batteries Li-ion, dans le but d’obtenir, par rapport aux solutions classiques, un gain en masse et en durée de vie pour une autonomie </w:t>
      </w:r>
      <w:r w:rsidRPr="00D74E64">
        <w:rPr>
          <w:rFonts w:ascii="Times New Roman" w:hAnsi="Times New Roman" w:cs="Times New Roman"/>
          <w:color w:val="000000"/>
          <w:sz w:val="24"/>
          <w:szCs w:val="24"/>
        </w:rPr>
        <w:t>de 700 km</w:t>
      </w:r>
      <w:r w:rsidRPr="00FC0C1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74E64" w:rsidRPr="00D74E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 xml:space="preserve">Ce 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>travail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 xml:space="preserve"> présente les résultats de l’influence de différents paramètres comme les</w:t>
      </w:r>
      <w:r w:rsidR="00D74E64" w:rsidRPr="00D74E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>stratégies de gestion d’énergie et les cycles de conduite sur le dimensionnement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 xml:space="preserve"> des Systèmes de Stockage d’Energie (SSE)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>. Ces</w:t>
      </w:r>
      <w:r w:rsidR="00D74E64" w:rsidRPr="00D74E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>résultats de dimensionnement sont évalués en termes de masse, volume et coût, ainsi</w:t>
      </w:r>
      <w:r w:rsidR="00D74E64" w:rsidRPr="00D74E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>que les contraintes physiques appliquées sur chaque source.</w:t>
      </w:r>
      <w:r w:rsidR="00D74E64" w:rsidRPr="00D74E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>Deux stratégi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 xml:space="preserve">es de gestion temps réel basées 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>sur la séparation fréquentielle ainsi qu’une autre basée sur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 xml:space="preserve"> les règles de la logique floue sont proposées et testées. N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>otre contribution est le développement d’une stratégie</w:t>
      </w:r>
      <w:r w:rsidR="00D74E64" w:rsidRPr="00D74E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>dite de limitations adaptatives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 xml:space="preserve"> 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 xml:space="preserve"> </w:t>
      </w:r>
      <w:r w:rsidR="00D74E64" w:rsidRPr="00FC0C11">
        <w:rPr>
          <w:rFonts w:ascii="Times New Roman" w:hAnsi="Times New Roman" w:cs="Times New Roman"/>
          <w:color w:val="000000"/>
          <w:sz w:val="24"/>
          <w:szCs w:val="24"/>
        </w:rPr>
        <w:t xml:space="preserve">ayant pour objectif d’agir sur la durée de vie </w:t>
      </w:r>
      <w:r w:rsidR="00CE3265">
        <w:rPr>
          <w:rFonts w:ascii="Times New Roman" w:hAnsi="Times New Roman" w:cs="Times New Roman"/>
          <w:color w:val="000000"/>
          <w:sz w:val="24"/>
          <w:szCs w:val="24"/>
        </w:rPr>
        <w:t>et la consommation d’hydrogène</w:t>
      </w:r>
      <w:r w:rsidR="00461FE3">
        <w:rPr>
          <w:rFonts w:ascii="Times New Roman" w:hAnsi="Times New Roman" w:cs="Times New Roman"/>
          <w:color w:val="000000"/>
          <w:sz w:val="24"/>
          <w:szCs w:val="24"/>
        </w:rPr>
        <w:t xml:space="preserve"> du SSE</w:t>
      </w:r>
      <w:r w:rsidR="00D74E64" w:rsidRPr="00FC0C1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>Cette dernière est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 xml:space="preserve"> une stratégie temps réel et ne 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>dépen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 xml:space="preserve">d pas du cycle de conduite. Ces 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>stratégies font l’objet d’u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 xml:space="preserve">ne étude approfondie 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>sel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 xml:space="preserve">on différents critères comme la 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>consommation d’hydrogène</w:t>
      </w:r>
      <w:r w:rsidR="003D1998">
        <w:rPr>
          <w:rFonts w:ascii="URWPalladioL-Roma" w:hAnsi="URWPalladioL-Roma" w:cs="URWPalladioL-Roma"/>
          <w:sz w:val="24"/>
          <w:szCs w:val="24"/>
        </w:rPr>
        <w:t xml:space="preserve"> et le vieillissement de </w:t>
      </w:r>
      <w:r w:rsidR="000E60A4" w:rsidRPr="00D74E64">
        <w:rPr>
          <w:rFonts w:ascii="URWPalladioL-Roma" w:hAnsi="URWPalladioL-Roma" w:cs="URWPalladioL-Roma"/>
          <w:sz w:val="24"/>
          <w:szCs w:val="24"/>
        </w:rPr>
        <w:t xml:space="preserve">chaque source. 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>Une plateforme</w:t>
      </w:r>
      <w:r w:rsidR="00461FE3">
        <w:rPr>
          <w:rFonts w:ascii="URWPalladioL-Roma" w:hAnsi="URWPalladioL-Roma" w:cs="URWPalladioL-Roma"/>
          <w:sz w:val="24"/>
          <w:szCs w:val="24"/>
        </w:rPr>
        <w:t xml:space="preserve"> expérimentale émulant à échelle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 xml:space="preserve"> réduit </w:t>
      </w:r>
      <w:r w:rsidR="00461FE3">
        <w:rPr>
          <w:rFonts w:ascii="URWPalladioL-Roma" w:hAnsi="URWPalladioL-Roma" w:cs="URWPalladioL-Roma"/>
          <w:sz w:val="24"/>
          <w:szCs w:val="24"/>
        </w:rPr>
        <w:t xml:space="preserve">de 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 xml:space="preserve">1kw un véhicule à pile à combustible hybride a été présentée. Ce banc d’essai, développé au sein de </w:t>
      </w:r>
      <w:r w:rsidR="00461FE3" w:rsidRPr="00D74E64">
        <w:rPr>
          <w:rFonts w:ascii="URWPalladioL-Roma" w:hAnsi="URWPalladioL-Roma" w:cs="URWPalladioL-Roma"/>
          <w:sz w:val="24"/>
          <w:szCs w:val="24"/>
        </w:rPr>
        <w:t>ESTACA’LAB,</w:t>
      </w:r>
      <w:r w:rsidR="00D74E64" w:rsidRPr="00D74E64">
        <w:rPr>
          <w:rFonts w:ascii="URWPalladioL-Roma" w:hAnsi="URWPalladioL-Roma" w:cs="URWPalladioL-Roma"/>
          <w:sz w:val="24"/>
          <w:szCs w:val="24"/>
        </w:rPr>
        <w:t xml:space="preserve"> a permis de valider le bon fonctionnement des méthodes de gestion et a permis également d’évaluer deux stratégies en termes de contraintes et de consommation d’hydrogène.</w:t>
      </w:r>
    </w:p>
    <w:p w:rsidR="00D74E64" w:rsidRDefault="00D74E64" w:rsidP="00FC0C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bookmarkStart w:id="0" w:name="_GoBack"/>
      <w:bookmarkEnd w:id="0"/>
    </w:p>
    <w:sectPr w:rsidR="00D74E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RWPalladioL-Rom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C11"/>
    <w:rsid w:val="000C6201"/>
    <w:rsid w:val="000E60A4"/>
    <w:rsid w:val="00120208"/>
    <w:rsid w:val="003D1998"/>
    <w:rsid w:val="00461FE3"/>
    <w:rsid w:val="006860F8"/>
    <w:rsid w:val="00763BEC"/>
    <w:rsid w:val="0089026B"/>
    <w:rsid w:val="00AE5360"/>
    <w:rsid w:val="00B46897"/>
    <w:rsid w:val="00CE3265"/>
    <w:rsid w:val="00D74E64"/>
    <w:rsid w:val="00FC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B3C222-A13F-4341-9288-346657C32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C1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FC0C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shorttext">
    <w:name w:val="short_text"/>
    <w:basedOn w:val="Policepardfaut"/>
    <w:rsid w:val="00CE3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Bacha</dc:creator>
  <cp:lastModifiedBy>naima</cp:lastModifiedBy>
  <cp:revision>4</cp:revision>
  <cp:lastPrinted>2017-12-19T13:26:00Z</cp:lastPrinted>
  <dcterms:created xsi:type="dcterms:W3CDTF">2017-12-24T08:42:00Z</dcterms:created>
  <dcterms:modified xsi:type="dcterms:W3CDTF">2018-05-07T13:47:00Z</dcterms:modified>
</cp:coreProperties>
</file>