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897" w:rsidRDefault="00B46897" w:rsidP="00FC0C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B46897" w:rsidRDefault="00B46897" w:rsidP="00FC0C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B46897" w:rsidRDefault="00B46897" w:rsidP="00FC0C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C0C11" w:rsidRPr="00FC0C11" w:rsidRDefault="00FC0C11" w:rsidP="00FC0C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FC0C1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Résumé : </w:t>
      </w:r>
    </w:p>
    <w:p w:rsidR="00B46897" w:rsidRDefault="00B46897" w:rsidP="00B4689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E60A4" w:rsidRPr="00D74E64" w:rsidRDefault="00FC0C11" w:rsidP="00B4689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C0C11">
        <w:rPr>
          <w:rFonts w:ascii="Times New Roman" w:hAnsi="Times New Roman" w:cs="Times New Roman"/>
          <w:color w:val="000000"/>
          <w:sz w:val="24"/>
          <w:szCs w:val="24"/>
        </w:rPr>
        <w:t>Ce</w:t>
      </w:r>
      <w:r w:rsidR="00461FE3">
        <w:rPr>
          <w:rFonts w:ascii="Times New Roman" w:hAnsi="Times New Roman" w:cs="Times New Roman"/>
          <w:color w:val="000000"/>
          <w:sz w:val="24"/>
          <w:szCs w:val="24"/>
        </w:rPr>
        <w:t>tte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61FE3">
        <w:rPr>
          <w:rFonts w:ascii="Times New Roman" w:hAnsi="Times New Roman" w:cs="Times New Roman"/>
          <w:color w:val="000000"/>
          <w:sz w:val="24"/>
          <w:szCs w:val="24"/>
        </w:rPr>
        <w:t>thèse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 contribue à l’</w:t>
      </w:r>
      <w:r w:rsidRPr="00D74E64">
        <w:rPr>
          <w:rFonts w:ascii="Times New Roman" w:hAnsi="Times New Roman" w:cs="Times New Roman"/>
          <w:color w:val="000000"/>
          <w:sz w:val="24"/>
          <w:szCs w:val="24"/>
        </w:rPr>
        <w:t>étude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 d’une source de stockage hybride embarquée alimentant un véhicule électrique</w:t>
      </w:r>
      <w:r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urbain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D74E64">
        <w:rPr>
          <w:rFonts w:ascii="Times New Roman" w:hAnsi="Times New Roman" w:cs="Times New Roman"/>
          <w:color w:val="000000"/>
          <w:sz w:val="24"/>
          <w:szCs w:val="24"/>
        </w:rPr>
        <w:t>Elle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st composée de l’association d’une pile à combustible avec des 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batteries Li-ion, dans le but d’obtenir, par rapport aux solutions classiques, un gain en masse et en durée de vie pour une autonomie </w:t>
      </w:r>
      <w:r w:rsidRPr="00D74E64">
        <w:rPr>
          <w:rFonts w:ascii="Times New Roman" w:hAnsi="Times New Roman" w:cs="Times New Roman"/>
          <w:color w:val="000000"/>
          <w:sz w:val="24"/>
          <w:szCs w:val="24"/>
        </w:rPr>
        <w:t>de 700 km</w:t>
      </w:r>
      <w:r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D74E64"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 xml:space="preserve">Ce 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>travail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 xml:space="preserve"> présente les résultats de l’influence de différents paramètres comme les</w:t>
      </w:r>
      <w:r w:rsidR="00D74E64"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stratégies de gestion d’énergie et les cycles de conduite sur le dimensionnement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 des Systèmes de Stockage d’Energie (SSE)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. Ces</w:t>
      </w:r>
      <w:r w:rsidR="00D74E64"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résultats de dimensionnement sont évalués en termes de masse, volume et coût, ainsi</w:t>
      </w:r>
      <w:r w:rsidR="00D74E64"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que les contraintes physiques appliquées sur chaque source.</w:t>
      </w:r>
      <w:r w:rsidR="00D74E64"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Deux stratégi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es de gestion temps réel basées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sur la séparation fréquentielle ainsi qu’une autre basée sur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 les règles de la logique floue sont proposées et testées. N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otre contribution est le développement d’une stratégie</w:t>
      </w:r>
      <w:r w:rsidR="00D74E64" w:rsidRPr="00D74E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>dite de limitations adaptatives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 xml:space="preserve"> 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 </w:t>
      </w:r>
      <w:r w:rsidR="00D74E64"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ayant pour objectif d’agir sur la durée de vie </w:t>
      </w:r>
      <w:r w:rsidR="00CE3265">
        <w:rPr>
          <w:rFonts w:ascii="Times New Roman" w:hAnsi="Times New Roman" w:cs="Times New Roman"/>
          <w:color w:val="000000"/>
          <w:sz w:val="24"/>
          <w:szCs w:val="24"/>
        </w:rPr>
        <w:t>et la consommation d’hydrogène</w:t>
      </w:r>
      <w:r w:rsidR="00461FE3">
        <w:rPr>
          <w:rFonts w:ascii="Times New Roman" w:hAnsi="Times New Roman" w:cs="Times New Roman"/>
          <w:color w:val="000000"/>
          <w:sz w:val="24"/>
          <w:szCs w:val="24"/>
        </w:rPr>
        <w:t xml:space="preserve"> du SSE</w:t>
      </w:r>
      <w:r w:rsidR="00D74E64" w:rsidRPr="00FC0C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Cette dernière est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 une stratégie temps réel et ne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dépen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d pas du cycle de conduite. Ces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stratégies font l’objet d’u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ne étude approfondie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sel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on différents critères comme la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>consommation d’hydrogène</w:t>
      </w:r>
      <w:r w:rsidR="003D1998">
        <w:rPr>
          <w:rFonts w:ascii="URWPalladioL-Roma" w:hAnsi="URWPalladioL-Roma" w:cs="URWPalladioL-Roma"/>
          <w:sz w:val="24"/>
          <w:szCs w:val="24"/>
        </w:rPr>
        <w:t xml:space="preserve"> et le vieillissement de </w:t>
      </w:r>
      <w:r w:rsidR="000E60A4" w:rsidRPr="00D74E64">
        <w:rPr>
          <w:rFonts w:ascii="URWPalladioL-Roma" w:hAnsi="URWPalladioL-Roma" w:cs="URWPalladioL-Roma"/>
          <w:sz w:val="24"/>
          <w:szCs w:val="24"/>
        </w:rPr>
        <w:t xml:space="preserve">chaque source. 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>Une plateforme</w:t>
      </w:r>
      <w:r w:rsidR="00461FE3">
        <w:rPr>
          <w:rFonts w:ascii="URWPalladioL-Roma" w:hAnsi="URWPalladioL-Roma" w:cs="URWPalladioL-Roma"/>
          <w:sz w:val="24"/>
          <w:szCs w:val="24"/>
        </w:rPr>
        <w:t xml:space="preserve"> expérimentale émulant à échelle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 réduit </w:t>
      </w:r>
      <w:r w:rsidR="00461FE3">
        <w:rPr>
          <w:rFonts w:ascii="URWPalladioL-Roma" w:hAnsi="URWPalladioL-Roma" w:cs="URWPalladioL-Roma"/>
          <w:sz w:val="24"/>
          <w:szCs w:val="24"/>
        </w:rPr>
        <w:t xml:space="preserve">de 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1kw un véhicule à pile à combustible hybride a été présentée. Ce banc d’essai, développé au sein de </w:t>
      </w:r>
      <w:r w:rsidR="00461FE3" w:rsidRPr="00D74E64">
        <w:rPr>
          <w:rFonts w:ascii="URWPalladioL-Roma" w:hAnsi="URWPalladioL-Roma" w:cs="URWPalladioL-Roma"/>
          <w:sz w:val="24"/>
          <w:szCs w:val="24"/>
        </w:rPr>
        <w:t>ESTACA’LAB,</w:t>
      </w:r>
      <w:r w:rsidR="00D74E64" w:rsidRPr="00D74E64">
        <w:rPr>
          <w:rFonts w:ascii="URWPalladioL-Roma" w:hAnsi="URWPalladioL-Roma" w:cs="URWPalladioL-Roma"/>
          <w:sz w:val="24"/>
          <w:szCs w:val="24"/>
        </w:rPr>
        <w:t xml:space="preserve"> a permis de valider le bon fonctionnement des méthodes de gestion et a permis également d’évaluer deux stratégies en termes de contraintes et de consommation d’hydrogène.</w:t>
      </w:r>
    </w:p>
    <w:p w:rsidR="00D74E64" w:rsidRDefault="00D74E64" w:rsidP="00FC0C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bookmarkStart w:id="0" w:name="_GoBack"/>
      <w:bookmarkEnd w:id="0"/>
    </w:p>
    <w:sectPr w:rsidR="00D74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URWPalladioL-Roma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C11"/>
    <w:rsid w:val="000C6201"/>
    <w:rsid w:val="000E60A4"/>
    <w:rsid w:val="00120208"/>
    <w:rsid w:val="003D1998"/>
    <w:rsid w:val="00461FE3"/>
    <w:rsid w:val="006860F8"/>
    <w:rsid w:val="00763BEC"/>
    <w:rsid w:val="0089026B"/>
    <w:rsid w:val="00AE5360"/>
    <w:rsid w:val="00B46897"/>
    <w:rsid w:val="00CE3265"/>
    <w:rsid w:val="00D74E64"/>
    <w:rsid w:val="00FC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B3C222-A13F-4341-9288-346657C32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0C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FC0C1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fr-FR"/>
    </w:rPr>
  </w:style>
  <w:style w:type="character" w:customStyle="1" w:styleId="shorttext">
    <w:name w:val="short_text"/>
    <w:basedOn w:val="Policepardfaut"/>
    <w:rsid w:val="00CE32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Bacha</dc:creator>
  <cp:lastModifiedBy>naima</cp:lastModifiedBy>
  <cp:revision>4</cp:revision>
  <cp:lastPrinted>2017-12-19T13:26:00Z</cp:lastPrinted>
  <dcterms:created xsi:type="dcterms:W3CDTF">2017-12-24T08:42:00Z</dcterms:created>
  <dcterms:modified xsi:type="dcterms:W3CDTF">2018-05-07T13:47:00Z</dcterms:modified>
</cp:coreProperties>
</file>