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33CE" w:rsidRDefault="001803E3" w:rsidP="00C63C2F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noProof/>
          <w:sz w:val="24"/>
          <w:szCs w:val="24"/>
          <w:u w:val="single"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14.3pt;margin-top:-33.9pt;width:448.3pt;height:51.95pt;z-index:251658240" strokeweight="1pt">
            <v:textbox>
              <w:txbxContent>
                <w:p w:rsidR="009333CE" w:rsidRPr="00A36D35" w:rsidRDefault="009333CE" w:rsidP="009333CE">
                  <w:pPr>
                    <w:jc w:val="center"/>
                    <w:rPr>
                      <w:rFonts w:ascii="Times New Roman" w:hAnsi="Times New Roman" w:cs="Times New Roman"/>
                      <w:b/>
                      <w:sz w:val="32"/>
                      <w:szCs w:val="32"/>
                    </w:rPr>
                  </w:pPr>
                  <w:r w:rsidRPr="00A36D35">
                    <w:rPr>
                      <w:rFonts w:ascii="Times New Roman" w:hAnsi="Times New Roman" w:cs="Times New Roman"/>
                      <w:b/>
                      <w:sz w:val="32"/>
                      <w:szCs w:val="32"/>
                    </w:rPr>
                    <w:t>CONTRIBUTION A L’ETUDE CHROMATOGRAPHIQUE DES PHASES STATIONNAIRES MIXTES</w:t>
                  </w:r>
                  <w:r>
                    <w:rPr>
                      <w:rFonts w:ascii="Times New Roman" w:hAnsi="Times New Roman" w:cs="Times New Roman"/>
                      <w:b/>
                      <w:sz w:val="32"/>
                      <w:szCs w:val="32"/>
                    </w:rPr>
                    <w:t>*</w:t>
                  </w:r>
                </w:p>
                <w:p w:rsidR="009333CE" w:rsidRDefault="009333CE"/>
              </w:txbxContent>
            </v:textbox>
          </v:shape>
        </w:pict>
      </w:r>
    </w:p>
    <w:p w:rsidR="009333CE" w:rsidRDefault="009333CE" w:rsidP="00C63C2F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333CE" w:rsidRPr="00A36D35" w:rsidRDefault="009333CE" w:rsidP="008D3C18">
      <w:pPr>
        <w:tabs>
          <w:tab w:val="left" w:pos="5985"/>
        </w:tabs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Mme </w:t>
      </w:r>
      <w:r w:rsidRPr="00A36D35">
        <w:rPr>
          <w:rFonts w:ascii="Times New Roman" w:hAnsi="Times New Roman" w:cs="Times New Roman"/>
          <w:b/>
          <w:sz w:val="26"/>
          <w:szCs w:val="26"/>
        </w:rPr>
        <w:t>BOUZOUANE - FERAHTIA SAMIRA**</w:t>
      </w:r>
    </w:p>
    <w:p w:rsidR="009333CE" w:rsidRDefault="009333CE" w:rsidP="008D3C18">
      <w:pPr>
        <w:tabs>
          <w:tab w:val="left" w:pos="5985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36D35">
        <w:rPr>
          <w:rFonts w:ascii="Times New Roman" w:hAnsi="Times New Roman" w:cs="Times New Roman"/>
          <w:sz w:val="24"/>
          <w:szCs w:val="24"/>
        </w:rPr>
        <w:t>Laboratoire d’Analyse Organique Fonctionnelle</w:t>
      </w:r>
    </w:p>
    <w:p w:rsidR="009333CE" w:rsidRDefault="009333CE" w:rsidP="008D3C18">
      <w:pPr>
        <w:tabs>
          <w:tab w:val="left" w:pos="5985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Faculté de Chimie –USTHB-</w:t>
      </w:r>
    </w:p>
    <w:p w:rsidR="009333CE" w:rsidRDefault="001803E3" w:rsidP="00C63C2F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noProof/>
          <w:sz w:val="24"/>
          <w:szCs w:val="24"/>
          <w:u w:val="single"/>
          <w:lang w:eastAsia="fr-FR"/>
        </w:rPr>
        <w:pict>
          <v:shape id="_x0000_s1028" type="#_x0000_t202" style="position:absolute;margin-left:-1.5pt;margin-top:4.3pt;width:480.35pt;height:605.6pt;z-index:251659264" strokeweight="1pt">
            <v:textbox style="mso-next-textbox:#_x0000_s1028">
              <w:txbxContent>
                <w:p w:rsidR="00A304C7" w:rsidRPr="00A304C7" w:rsidRDefault="00A304C7" w:rsidP="00A304C7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color w:val="0070C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4"/>
                      <w:szCs w:val="24"/>
                      <w:u w:val="single"/>
                    </w:rPr>
                    <w:t>Résumé :</w:t>
                  </w:r>
                </w:p>
                <w:p w:rsidR="00A304C7" w:rsidRDefault="00A304C7" w:rsidP="00A304C7">
                  <w:pPr>
                    <w:spacing w:after="0" w:line="240" w:lineRule="auto"/>
                    <w:ind w:firstLine="709"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A304C7">
                    <w:rPr>
                      <w:rFonts w:ascii="Times New Roman" w:hAnsi="Times New Roman" w:cs="Times New Roman"/>
                      <w:sz w:val="24"/>
                      <w:szCs w:val="24"/>
                    </w:rPr>
                    <w:t>Le travail que nous présentons entre dans le cadre de l’étude systématique de la rétention</w:t>
                  </w:r>
                  <w:r w:rsidRPr="00A304C7"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 xml:space="preserve"> </w:t>
                  </w:r>
                  <w:r w:rsidRPr="00A304C7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en </w:t>
                  </w:r>
                  <w:r w:rsidRPr="008D3C18">
                    <w:rPr>
                      <w:rFonts w:ascii="Times New Roman" w:hAnsi="Times New Roman" w:cs="Times New Roman"/>
                    </w:rPr>
                    <w:t>CPG</w:t>
                  </w:r>
                  <w:r w:rsidRPr="00A304C7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des grandeurs de rétention  sur trois séries de congénères : les alcanes ramifiés, les alcools aliphatiques et les composés aromatiques élués sur six phases stationnaires : les phases pures </w:t>
                  </w:r>
                  <w:r w:rsidRPr="008D3C18">
                    <w:rPr>
                      <w:rFonts w:ascii="Times New Roman" w:hAnsi="Times New Roman" w:cs="Times New Roman"/>
                    </w:rPr>
                    <w:t>OV-3, OV-225, OV-61OH, OV-1701OH</w:t>
                  </w:r>
                  <w:r w:rsidRPr="00A304C7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et des mélanges de binaires de phases </w:t>
                  </w:r>
                  <w:r w:rsidRPr="008D3C18">
                    <w:rPr>
                      <w:rFonts w:ascii="Times New Roman" w:hAnsi="Times New Roman" w:cs="Times New Roman"/>
                    </w:rPr>
                    <w:t>(OV-3 / OV-225) et (OV-61OH / OV-1701OH)</w:t>
                  </w:r>
                  <w:r w:rsidRPr="00A304C7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 à températures isothermes (60°C, 80°C, 100°C). Les données de rétention (temps et indices de rétention) ont été obtenues par trois méthodes mathématiques : la méthode expérimentale de Kovats </w:t>
                  </w:r>
                  <w:r w:rsidRPr="008D3C18">
                    <w:rPr>
                      <w:rFonts w:ascii="Times New Roman" w:hAnsi="Times New Roman" w:cs="Times New Roman"/>
                    </w:rPr>
                    <w:t>(KO),</w:t>
                  </w:r>
                  <w:r w:rsidRPr="00A304C7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les deux méthodes mathématiques développées par notre équipe, la méthode statistique  multiparamétrique  </w:t>
                  </w:r>
                  <w:r w:rsidRPr="008D3C18">
                    <w:rPr>
                      <w:rFonts w:ascii="Times New Roman" w:hAnsi="Times New Roman" w:cs="Times New Roman"/>
                    </w:rPr>
                    <w:t>(MP)</w:t>
                  </w:r>
                  <w:r w:rsidRPr="00A304C7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et la méthode d’interpolation cubique </w:t>
                  </w:r>
                  <w:r w:rsidRPr="008D3C18">
                    <w:rPr>
                      <w:rFonts w:ascii="Times New Roman" w:hAnsi="Times New Roman" w:cs="Times New Roman"/>
                    </w:rPr>
                    <w:t>(IC).</w:t>
                  </w:r>
                  <w:r w:rsidRPr="00A304C7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L’ensemble des calculs a été réalisé par rapport à l’échelle de référence des alcanes aliphatiques.   </w:t>
                  </w:r>
                </w:p>
                <w:p w:rsidR="00075FF7" w:rsidRPr="00A304C7" w:rsidRDefault="00075FF7" w:rsidP="00A304C7">
                  <w:pPr>
                    <w:spacing w:after="0" w:line="240" w:lineRule="auto"/>
                    <w:ind w:firstLine="709"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  <w:p w:rsidR="00A304C7" w:rsidRPr="00FD2FAB" w:rsidRDefault="00A304C7" w:rsidP="00A304C7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A304C7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       </w:t>
                  </w:r>
                  <w:r w:rsidRPr="00A304C7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 xml:space="preserve">Les différents critères statistiques obtenus par la </w:t>
                  </w:r>
                  <w:r w:rsidRPr="008D3C18">
                    <w:rPr>
                      <w:rFonts w:ascii="Times New Roman" w:hAnsi="Times New Roman" w:cs="Times New Roman"/>
                      <w:bCs/>
                    </w:rPr>
                    <w:t>(MP)</w:t>
                  </w:r>
                  <w:r w:rsidRPr="00A304C7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 xml:space="preserve"> permettent d’évaluer</w:t>
                  </w:r>
                  <w:r w:rsidRPr="00A304C7">
                    <w:rPr>
                      <w:rFonts w:ascii="Times New Roman" w:hAnsi="Times New Roman" w:cs="Times New Roman"/>
                      <w:bCs/>
                      <w:color w:val="C00000"/>
                      <w:sz w:val="24"/>
                      <w:szCs w:val="24"/>
                    </w:rPr>
                    <w:t xml:space="preserve"> </w:t>
                  </w:r>
                  <w:r w:rsidRPr="00A304C7">
                    <w:rPr>
                      <w:rFonts w:ascii="Times New Roman" w:eastAsia="TimesNewRoman" w:hAnsi="Times New Roman" w:cs="Times New Roman"/>
                      <w:sz w:val="24"/>
                      <w:szCs w:val="24"/>
                    </w:rPr>
                    <w:t>la qualité de l’ajustement</w:t>
                  </w:r>
                  <w:r w:rsidRPr="00A304C7">
                    <w:rPr>
                      <w:rFonts w:ascii="Times New Roman" w:eastAsia="TimesNewRoman" w:hAnsi="Times New Roman" w:cs="Times New Roman"/>
                      <w:b/>
                      <w:color w:val="000000" w:themeColor="text1"/>
                      <w:sz w:val="24"/>
                      <w:szCs w:val="24"/>
                      <w:vertAlign w:val="superscript"/>
                    </w:rPr>
                    <w:t xml:space="preserve"> </w:t>
                  </w:r>
                  <w:r w:rsidRPr="00A304C7">
                    <w:rPr>
                      <w:rFonts w:ascii="Times New Roman" w:eastAsia="TimesNewRoman" w:hAnsi="Times New Roman" w:cs="Times New Roman"/>
                      <w:color w:val="FF0000"/>
                      <w:sz w:val="24"/>
                      <w:szCs w:val="24"/>
                    </w:rPr>
                    <w:t xml:space="preserve"> </w:t>
                  </w:r>
                  <w:r w:rsidRPr="00A304C7">
                    <w:rPr>
                      <w:rFonts w:ascii="Times New Roman" w:eastAsia="TimesNewRoman" w:hAnsi="Times New Roman" w:cs="Times New Roman"/>
                      <w:sz w:val="24"/>
                      <w:szCs w:val="24"/>
                    </w:rPr>
                    <w:t xml:space="preserve">ainsi que l’acceptation ou le rejet du modèle choisi. </w:t>
                  </w:r>
                  <w:r w:rsidRPr="00A304C7">
                    <w:rPr>
                      <w:rFonts w:ascii="Times New Roman" w:hAnsi="Times New Roman" w:cs="Times New Roman"/>
                      <w:sz w:val="24"/>
                      <w:szCs w:val="24"/>
                    </w:rPr>
                    <w:t>Cette méthode donne les indices de rétention avec leur écart type s(I).</w:t>
                  </w:r>
                  <w:r w:rsidRPr="00A304C7">
                    <w:rPr>
                      <w:rFonts w:ascii="Times New Roman" w:hAnsi="Times New Roman" w:cs="Times New Roman"/>
                      <w:color w:val="FF0000"/>
                      <w:sz w:val="24"/>
                      <w:szCs w:val="24"/>
                    </w:rPr>
                    <w:t xml:space="preserve"> </w:t>
                  </w:r>
                  <w:r w:rsidRPr="00A304C7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Les résultats obtenus dans les différentes régressions sont dans les intervalles de confiances fournit par la </w:t>
                  </w:r>
                  <w:r w:rsidRPr="008D3C18">
                    <w:rPr>
                      <w:rFonts w:ascii="Times New Roman" w:hAnsi="Times New Roman" w:cs="Times New Roman"/>
                    </w:rPr>
                    <w:t>(MP).</w:t>
                  </w:r>
                  <w:r w:rsidRPr="00A304C7">
                    <w:rPr>
                      <w:rFonts w:ascii="Times New Roman" w:hAnsi="Times New Roman" w:cs="Times New Roman"/>
                      <w:color w:val="FF0000"/>
                      <w:sz w:val="24"/>
                      <w:szCs w:val="24"/>
                    </w:rPr>
                    <w:t xml:space="preserve"> </w:t>
                  </w:r>
                  <w:r w:rsidRPr="00A304C7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Les valeurs des indices de rétention de tous les solutés organiques calculés par les trois méthodes  </w:t>
                  </w:r>
                  <w:r w:rsidRPr="008D3C18">
                    <w:rPr>
                      <w:rFonts w:ascii="Times New Roman" w:hAnsi="Times New Roman" w:cs="Times New Roman"/>
                    </w:rPr>
                    <w:t>(MP, IC,</w:t>
                  </w:r>
                  <w:r w:rsidRPr="00A304C7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</w:t>
                  </w:r>
                  <w:r w:rsidRPr="008D3C18">
                    <w:rPr>
                      <w:rFonts w:ascii="Times New Roman" w:hAnsi="Times New Roman" w:cs="Times New Roman"/>
                    </w:rPr>
                    <w:t>KO)</w:t>
                  </w:r>
                  <w:r w:rsidRPr="00A304C7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sont en bon accords.</w:t>
                  </w:r>
                </w:p>
                <w:p w:rsidR="00A304C7" w:rsidRPr="00A304C7" w:rsidRDefault="00A304C7" w:rsidP="00A304C7">
                  <w:pPr>
                    <w:spacing w:after="0"/>
                    <w:jc w:val="both"/>
                    <w:rPr>
                      <w:rFonts w:ascii="Times New Roman" w:eastAsia="TimesNew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</w:rPr>
                    <w:t xml:space="preserve">       </w:t>
                  </w:r>
                  <w:r w:rsidRPr="001F527C">
                    <w:rPr>
                      <w:rFonts w:ascii="Times New Roman" w:hAnsi="Times New Roman" w:cs="Times New Roman"/>
                    </w:rPr>
                    <w:t xml:space="preserve"> </w:t>
                  </w:r>
                  <w:r w:rsidRPr="00A304C7">
                    <w:rPr>
                      <w:rFonts w:ascii="Times New Roman" w:eastAsia="TimesNewRoman" w:hAnsi="Times New Roman" w:cs="Times New Roman"/>
                      <w:sz w:val="24"/>
                      <w:szCs w:val="24"/>
                    </w:rPr>
                    <w:t>L’influence des paramètres chromatographiques tels que la température de la colonne chromatographique, la polarité et le pourcentage en phényle de la phase stationnaire a été examinée selon une étude graphique.</w:t>
                  </w:r>
                </w:p>
                <w:p w:rsidR="00A304C7" w:rsidRPr="00A304C7" w:rsidRDefault="00A304C7" w:rsidP="00A304C7">
                  <w:pPr>
                    <w:spacing w:after="0" w:line="240" w:lineRule="auto"/>
                    <w:ind w:firstLine="709"/>
                    <w:jc w:val="both"/>
                    <w:rPr>
                      <w:rFonts w:ascii="Times New Roman" w:hAnsi="Times New Roman" w:cs="Times New Roman"/>
                      <w:color w:val="0070C0"/>
                      <w:sz w:val="24"/>
                      <w:szCs w:val="24"/>
                    </w:rPr>
                  </w:pPr>
                </w:p>
                <w:p w:rsidR="00075FF7" w:rsidRPr="00FD2FAB" w:rsidRDefault="00A304C7" w:rsidP="007058F3">
                  <w:pPr>
                    <w:spacing w:after="0" w:line="240" w:lineRule="auto"/>
                    <w:ind w:firstLine="709"/>
                    <w:jc w:val="both"/>
                    <w:rPr>
                      <w:rFonts w:ascii="Times New Roman" w:eastAsia="TimesNewRoman" w:hAnsi="Times New Roman" w:cs="Times New Roman"/>
                      <w:sz w:val="24"/>
                      <w:szCs w:val="24"/>
                    </w:rPr>
                  </w:pPr>
                  <w:r w:rsidRPr="00FD2FAB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Les méthodes de régression sont souvent associées au coefficient de corrélation R ou </w:t>
                  </w:r>
                  <w:r w:rsidR="00B919EB" w:rsidRPr="00FD2FAB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au</w:t>
                  </w:r>
                  <w:r w:rsidRPr="00FD2FAB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paramètre Chi2</w:t>
                  </w:r>
                  <w:r w:rsidR="00075FF7" w:rsidRPr="00FD2FAB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ces deux gra</w:t>
                  </w:r>
                  <w:r w:rsidR="005805B8">
                    <w:rPr>
                      <w:rFonts w:ascii="Times New Roman" w:hAnsi="Times New Roman" w:cs="Times New Roman"/>
                      <w:sz w:val="24"/>
                      <w:szCs w:val="24"/>
                    </w:rPr>
                    <w:t>n</w:t>
                  </w:r>
                  <w:r w:rsidR="00075FF7" w:rsidRPr="00FD2FAB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deurs </w:t>
                  </w:r>
                  <w:r w:rsidR="008D4D14" w:rsidRPr="00FD2FAB">
                    <w:rPr>
                      <w:rFonts w:ascii="Times New Roman" w:hAnsi="Times New Roman" w:cs="Times New Roman"/>
                      <w:sz w:val="24"/>
                      <w:szCs w:val="24"/>
                    </w:rPr>
                    <w:t>ont été utilisé</w:t>
                  </w:r>
                  <w:r w:rsidR="005805B8">
                    <w:rPr>
                      <w:rFonts w:ascii="Times New Roman" w:hAnsi="Times New Roman" w:cs="Times New Roman"/>
                      <w:sz w:val="24"/>
                      <w:szCs w:val="24"/>
                    </w:rPr>
                    <w:t>e</w:t>
                  </w:r>
                  <w:r w:rsidR="008D4D14" w:rsidRPr="00FD2FAB">
                    <w:rPr>
                      <w:rFonts w:ascii="Times New Roman" w:hAnsi="Times New Roman" w:cs="Times New Roman"/>
                      <w:sz w:val="24"/>
                      <w:szCs w:val="24"/>
                    </w:rPr>
                    <w:t>s</w:t>
                  </w:r>
                  <w:r w:rsidR="00075FF7" w:rsidRPr="00FD2FAB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</w:t>
                  </w:r>
                  <w:r w:rsidR="008D4D14" w:rsidRPr="00FD2FAB">
                    <w:rPr>
                      <w:rFonts w:ascii="Times New Roman" w:hAnsi="Times New Roman" w:cs="Times New Roman"/>
                      <w:sz w:val="24"/>
                      <w:szCs w:val="24"/>
                    </w:rPr>
                    <w:t>pour</w:t>
                  </w:r>
                  <w:r w:rsidR="00075FF7" w:rsidRPr="00FD2FAB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faire converger la méthode </w:t>
                  </w:r>
                  <w:r w:rsidR="005805B8">
                    <w:rPr>
                      <w:rFonts w:ascii="Times New Roman" w:hAnsi="Times New Roman" w:cs="Times New Roman"/>
                      <w:sz w:val="24"/>
                      <w:szCs w:val="24"/>
                    </w:rPr>
                    <w:t>(</w:t>
                  </w:r>
                  <w:r w:rsidR="00075FF7" w:rsidRPr="00FD2FAB">
                    <w:rPr>
                      <w:rFonts w:ascii="Times New Roman" w:hAnsi="Times New Roman" w:cs="Times New Roman"/>
                      <w:sz w:val="24"/>
                      <w:szCs w:val="24"/>
                    </w:rPr>
                    <w:t>MP</w:t>
                  </w:r>
                  <w:r w:rsidR="005805B8">
                    <w:rPr>
                      <w:rFonts w:ascii="Times New Roman" w:hAnsi="Times New Roman" w:cs="Times New Roman"/>
                      <w:sz w:val="24"/>
                      <w:szCs w:val="24"/>
                    </w:rPr>
                    <w:t>)</w:t>
                  </w:r>
                  <w:r w:rsidR="00075FF7" w:rsidRPr="00FD2FAB">
                    <w:rPr>
                      <w:rFonts w:ascii="Times New Roman" w:hAnsi="Times New Roman" w:cs="Times New Roman"/>
                      <w:sz w:val="24"/>
                      <w:szCs w:val="24"/>
                    </w:rPr>
                    <w:t>.</w:t>
                  </w:r>
                  <w:r w:rsidR="008D4D14" w:rsidRPr="00FD2FAB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</w:t>
                  </w:r>
                  <w:r w:rsidR="00075FF7" w:rsidRPr="00FD2FAB">
                    <w:rPr>
                      <w:rFonts w:ascii="Times New Roman" w:hAnsi="Times New Roman" w:cs="Times New Roman"/>
                      <w:sz w:val="24"/>
                      <w:szCs w:val="24"/>
                    </w:rPr>
                    <w:t>D</w:t>
                  </w:r>
                  <w:r w:rsidRPr="00FD2FAB">
                    <w:rPr>
                      <w:rFonts w:ascii="Times New Roman" w:hAnsi="Times New Roman" w:cs="Times New Roman"/>
                      <w:sz w:val="24"/>
                      <w:szCs w:val="24"/>
                    </w:rPr>
                    <w:t>’autres  techniques  statistiques d’analyses de données permettent une étude globale des individus et des variables</w:t>
                  </w:r>
                  <w:r w:rsidR="00B919EB" w:rsidRPr="00FD2FAB">
                    <w:rPr>
                      <w:rFonts w:ascii="Times New Roman" w:hAnsi="Times New Roman" w:cs="Times New Roman"/>
                      <w:sz w:val="24"/>
                      <w:szCs w:val="24"/>
                    </w:rPr>
                    <w:t>.</w:t>
                  </w:r>
                  <w:r w:rsidRPr="00FD2FAB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Ces méthodes d’analyses appliquées à la chimie porte le nom </w:t>
                  </w:r>
                  <w:r w:rsidR="005805B8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de </w:t>
                  </w:r>
                  <w:r w:rsidRPr="00FD2FAB">
                    <w:rPr>
                      <w:rFonts w:ascii="Times New Roman" w:hAnsi="Times New Roman" w:cs="Times New Roman"/>
                      <w:sz w:val="24"/>
                      <w:szCs w:val="24"/>
                    </w:rPr>
                    <w:t>chimiométrie</w:t>
                  </w:r>
                  <w:r w:rsidR="00C66A67" w:rsidRPr="00FD2FAB">
                    <w:rPr>
                      <w:rFonts w:ascii="Times New Roman" w:hAnsi="Times New Roman" w:cs="Times New Roman"/>
                      <w:sz w:val="24"/>
                      <w:szCs w:val="24"/>
                    </w:rPr>
                    <w:t>, c’</w:t>
                  </w:r>
                  <w:r w:rsidR="00B919EB" w:rsidRPr="00FD2FAB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est l’application des outils mathématiques, en particulier statistiques, pour obtenir le maximum d’informations à partir des données chimiques. </w:t>
                  </w:r>
                  <w:r w:rsidR="008D4D14" w:rsidRPr="00FD2FAB">
                    <w:rPr>
                      <w:rFonts w:ascii="Times New Roman" w:eastAsia="TimesNewRoman" w:hAnsi="Times New Roman" w:cs="Times New Roman"/>
                      <w:sz w:val="24"/>
                      <w:szCs w:val="24"/>
                    </w:rPr>
                    <w:t>Cette technique</w:t>
                  </w:r>
                  <w:r w:rsidR="00075FF7" w:rsidRPr="00FD2FAB">
                    <w:rPr>
                      <w:rFonts w:ascii="Times New Roman" w:eastAsia="TimesNewRoman" w:hAnsi="Times New Roman" w:cs="Times New Roman"/>
                      <w:sz w:val="24"/>
                      <w:szCs w:val="24"/>
                    </w:rPr>
                    <w:t xml:space="preserve"> </w:t>
                  </w:r>
                  <w:r w:rsidRPr="00FD2FAB">
                    <w:rPr>
                      <w:rFonts w:ascii="Times New Roman" w:eastAsia="TimesNewRoman" w:hAnsi="Times New Roman" w:cs="Times New Roman"/>
                      <w:sz w:val="24"/>
                      <w:szCs w:val="24"/>
                    </w:rPr>
                    <w:t xml:space="preserve">utilise les analyses factorielles telles que l’analyse en composantes principales </w:t>
                  </w:r>
                  <w:r w:rsidRPr="00FD2FAB">
                    <w:rPr>
                      <w:rFonts w:ascii="Times New Roman" w:eastAsia="TimesNewRoman" w:hAnsi="Times New Roman" w:cs="Times New Roman"/>
                    </w:rPr>
                    <w:t>(ACP)</w:t>
                  </w:r>
                  <w:r w:rsidRPr="00FD2FAB">
                    <w:rPr>
                      <w:rFonts w:ascii="Times New Roman" w:eastAsia="TimesNewRoman" w:hAnsi="Times New Roman" w:cs="Times New Roman"/>
                      <w:sz w:val="24"/>
                      <w:szCs w:val="24"/>
                    </w:rPr>
                    <w:t xml:space="preserve"> ou l’analyse factorielle des correspondances </w:t>
                  </w:r>
                  <w:r w:rsidRPr="00FD2FAB">
                    <w:rPr>
                      <w:rFonts w:ascii="Times New Roman" w:eastAsia="TimesNewRoman" w:hAnsi="Times New Roman" w:cs="Times New Roman"/>
                    </w:rPr>
                    <w:t>(AFC).</w:t>
                  </w:r>
                  <w:r w:rsidRPr="00FD2FAB">
                    <w:rPr>
                      <w:rFonts w:ascii="Times New Roman" w:eastAsia="TimesNewRoman" w:hAnsi="Times New Roman" w:cs="Times New Roman"/>
                      <w:sz w:val="24"/>
                      <w:szCs w:val="24"/>
                    </w:rPr>
                    <w:t xml:space="preserve"> </w:t>
                  </w:r>
                </w:p>
                <w:p w:rsidR="00FD2FAB" w:rsidRDefault="00FD2FAB" w:rsidP="007058F3">
                  <w:pPr>
                    <w:spacing w:after="0" w:line="240" w:lineRule="auto"/>
                    <w:ind w:firstLine="709"/>
                    <w:jc w:val="both"/>
                    <w:rPr>
                      <w:rFonts w:ascii="Times New Roman" w:eastAsia="TimesNewRoman" w:hAnsi="Times New Roman" w:cs="Times New Roman"/>
                      <w:sz w:val="24"/>
                      <w:szCs w:val="24"/>
                    </w:rPr>
                  </w:pPr>
                </w:p>
                <w:p w:rsidR="00A304C7" w:rsidRPr="00A304C7" w:rsidRDefault="00A304C7" w:rsidP="007058F3">
                  <w:pPr>
                    <w:spacing w:after="0" w:line="240" w:lineRule="auto"/>
                    <w:ind w:firstLine="709"/>
                    <w:jc w:val="both"/>
                    <w:rPr>
                      <w:rFonts w:ascii="Times New Roman" w:eastAsia="TimesNewRoman" w:hAnsi="Times New Roman" w:cs="Times New Roman"/>
                      <w:color w:val="0070C0"/>
                      <w:sz w:val="24"/>
                      <w:szCs w:val="24"/>
                    </w:rPr>
                  </w:pPr>
                  <w:r w:rsidRPr="00FD2FAB">
                    <w:rPr>
                      <w:rFonts w:ascii="Times New Roman" w:eastAsia="TimesNewRoman" w:hAnsi="Times New Roman" w:cs="Times New Roman"/>
                      <w:sz w:val="24"/>
                      <w:szCs w:val="24"/>
                    </w:rPr>
                    <w:t xml:space="preserve"> L’étude </w:t>
                  </w:r>
                  <w:r w:rsidR="007058F3" w:rsidRPr="00FD2FAB">
                    <w:rPr>
                      <w:rFonts w:ascii="Times New Roman" w:eastAsia="TimesNewRoman" w:hAnsi="Times New Roman" w:cs="Times New Roman"/>
                      <w:sz w:val="24"/>
                      <w:szCs w:val="24"/>
                    </w:rPr>
                    <w:t xml:space="preserve"> </w:t>
                  </w:r>
                  <w:r w:rsidRPr="00FD2FAB">
                    <w:rPr>
                      <w:rFonts w:ascii="Times New Roman" w:eastAsia="TimesNewRoman" w:hAnsi="Times New Roman" w:cs="Times New Roman"/>
                      <w:sz w:val="24"/>
                      <w:szCs w:val="24"/>
                    </w:rPr>
                    <w:t xml:space="preserve">selon </w:t>
                  </w:r>
                  <w:r w:rsidRPr="00FD2FAB">
                    <w:rPr>
                      <w:rFonts w:ascii="Times New Roman" w:eastAsia="TimesNewRoman" w:hAnsi="Times New Roman" w:cs="Times New Roman"/>
                    </w:rPr>
                    <w:t>l’AFC,</w:t>
                  </w:r>
                  <w:r w:rsidRPr="00FD2FAB">
                    <w:rPr>
                      <w:rFonts w:ascii="Times New Roman" w:eastAsia="TimesNewRoman" w:hAnsi="Times New Roman" w:cs="Times New Roman"/>
                      <w:sz w:val="24"/>
                      <w:szCs w:val="24"/>
                    </w:rPr>
                    <w:t xml:space="preserve"> sur </w:t>
                  </w:r>
                  <w:r w:rsidR="007058F3" w:rsidRPr="00FD2FAB">
                    <w:rPr>
                      <w:rFonts w:ascii="Times New Roman" w:eastAsia="TimesNewRoman" w:hAnsi="Times New Roman" w:cs="Times New Roman"/>
                      <w:sz w:val="24"/>
                      <w:szCs w:val="24"/>
                    </w:rPr>
                    <w:t>nos</w:t>
                  </w:r>
                  <w:r w:rsidRPr="00FD2FAB">
                    <w:rPr>
                      <w:rFonts w:ascii="Times New Roman" w:eastAsia="TimesNewRoman" w:hAnsi="Times New Roman" w:cs="Times New Roman"/>
                      <w:sz w:val="24"/>
                      <w:szCs w:val="24"/>
                    </w:rPr>
                    <w:t xml:space="preserve"> données de rétention calculées par la méthode </w:t>
                  </w:r>
                  <w:r w:rsidRPr="00FD2FAB">
                    <w:rPr>
                      <w:rFonts w:ascii="Times New Roman" w:eastAsia="TimesNewRoman" w:hAnsi="Times New Roman" w:cs="Times New Roman"/>
                    </w:rPr>
                    <w:t>(MP)</w:t>
                  </w:r>
                  <w:r w:rsidRPr="00FD2FAB">
                    <w:rPr>
                      <w:rFonts w:ascii="Times New Roman" w:eastAsia="TimesNewRoman" w:hAnsi="Times New Roman" w:cs="Times New Roman"/>
                      <w:sz w:val="24"/>
                      <w:szCs w:val="24"/>
                    </w:rPr>
                    <w:t> </w:t>
                  </w:r>
                  <w:r w:rsidR="00B919EB" w:rsidRPr="00FD2FAB">
                    <w:rPr>
                      <w:rFonts w:ascii="Times New Roman" w:eastAsia="TimesNewRoman" w:hAnsi="Times New Roman" w:cs="Times New Roman"/>
                      <w:sz w:val="24"/>
                      <w:szCs w:val="24"/>
                    </w:rPr>
                    <w:t xml:space="preserve">nous </w:t>
                  </w:r>
                  <w:r w:rsidRPr="00FD2FAB">
                    <w:rPr>
                      <w:rFonts w:ascii="Times New Roman" w:eastAsia="TimesNewRoman" w:hAnsi="Times New Roman" w:cs="Times New Roman"/>
                      <w:sz w:val="24"/>
                      <w:szCs w:val="24"/>
                    </w:rPr>
                    <w:t xml:space="preserve"> a permis d’extraire des résultats analytiques</w:t>
                  </w:r>
                  <w:r w:rsidR="00B919EB" w:rsidRPr="00FD2FAB">
                    <w:rPr>
                      <w:rFonts w:ascii="Times New Roman" w:eastAsia="TimesNewRoman" w:hAnsi="Times New Roman" w:cs="Times New Roman"/>
                      <w:sz w:val="24"/>
                      <w:szCs w:val="24"/>
                    </w:rPr>
                    <w:t xml:space="preserve"> avec </w:t>
                  </w:r>
                  <w:r w:rsidRPr="00FD2FAB">
                    <w:rPr>
                      <w:rFonts w:ascii="Times New Roman" w:eastAsia="TimesNewRoman" w:hAnsi="Times New Roman" w:cs="Times New Roman"/>
                      <w:sz w:val="24"/>
                      <w:szCs w:val="24"/>
                    </w:rPr>
                    <w:t xml:space="preserve"> un maximum d’information statistiquement significatives, et d’obtenir une représentation des plans factoriels simples des relations entre variables et individus</w:t>
                  </w:r>
                  <w:r w:rsidRPr="00A304C7">
                    <w:rPr>
                      <w:rFonts w:ascii="Times New Roman" w:eastAsia="TimesNewRoman" w:hAnsi="Times New Roman" w:cs="Times New Roman"/>
                      <w:color w:val="0070C0"/>
                      <w:sz w:val="24"/>
                      <w:szCs w:val="24"/>
                    </w:rPr>
                    <w:t>.</w:t>
                  </w:r>
                </w:p>
                <w:p w:rsidR="00A304C7" w:rsidRPr="001F527C" w:rsidRDefault="00A304C7" w:rsidP="00A304C7">
                  <w:pPr>
                    <w:spacing w:after="0"/>
                    <w:jc w:val="both"/>
                    <w:rPr>
                      <w:rFonts w:ascii="Times New Roman" w:eastAsia="TimesNewRoman" w:hAnsi="Times New Roman" w:cs="Times New Roman"/>
                    </w:rPr>
                  </w:pPr>
                </w:p>
                <w:p w:rsidR="00B919EB" w:rsidRDefault="00A304C7" w:rsidP="00B919EB">
                  <w:pPr>
                    <w:spacing w:after="0" w:line="240" w:lineRule="auto"/>
                    <w:ind w:firstLine="709"/>
                    <w:jc w:val="both"/>
                    <w:rPr>
                      <w:rFonts w:ascii="Times New Roman" w:hAnsi="Times New Roman" w:cs="Times New Roman"/>
                      <w:color w:val="0070C0"/>
                      <w:sz w:val="24"/>
                      <w:szCs w:val="24"/>
                    </w:rPr>
                  </w:pPr>
                  <w:r>
                    <w:rPr>
                      <w:rFonts w:ascii="Times New Roman" w:eastAsia="TimesNewRoman" w:hAnsi="Times New Roman" w:cs="Times New Roman"/>
                      <w:sz w:val="24"/>
                      <w:szCs w:val="24"/>
                    </w:rPr>
                    <w:t xml:space="preserve">     </w:t>
                  </w:r>
                  <w:r w:rsidRPr="00A304C7">
                    <w:rPr>
                      <w:rFonts w:ascii="Times New Roman" w:eastAsia="TimesNewRoman" w:hAnsi="Times New Roman" w:cs="Times New Roman"/>
                      <w:sz w:val="24"/>
                      <w:szCs w:val="24"/>
                    </w:rPr>
                    <w:t xml:space="preserve">L’analyse topologique des données de rétention a mis en évidence la relation entre la structure moléculaire des solutés organiques et leurs comportements chromatographiques en utilisant le système </w:t>
                  </w:r>
                  <w:r w:rsidRPr="005805B8">
                    <w:rPr>
                      <w:rFonts w:ascii="Times New Roman" w:eastAsia="TimesNewRoman" w:hAnsi="Times New Roman" w:cs="Times New Roman"/>
                      <w:sz w:val="20"/>
                      <w:szCs w:val="20"/>
                    </w:rPr>
                    <w:t>DARC/PELCO.</w:t>
                  </w:r>
                  <w:r w:rsidR="00B919EB" w:rsidRPr="00B919EB">
                    <w:rPr>
                      <w:rFonts w:ascii="Times New Roman" w:hAnsi="Times New Roman" w:cs="Times New Roman"/>
                      <w:color w:val="0070C0"/>
                      <w:sz w:val="24"/>
                      <w:szCs w:val="24"/>
                    </w:rPr>
                    <w:t xml:space="preserve"> </w:t>
                  </w:r>
                </w:p>
                <w:p w:rsidR="005A5520" w:rsidRDefault="005A5520" w:rsidP="00B919EB">
                  <w:pPr>
                    <w:spacing w:after="0" w:line="240" w:lineRule="auto"/>
                    <w:ind w:firstLine="709"/>
                    <w:jc w:val="both"/>
                    <w:rPr>
                      <w:rFonts w:ascii="Times New Roman" w:hAnsi="Times New Roman" w:cs="Times New Roman"/>
                      <w:color w:val="0070C0"/>
                      <w:sz w:val="24"/>
                      <w:szCs w:val="24"/>
                    </w:rPr>
                  </w:pPr>
                </w:p>
                <w:p w:rsidR="005A5520" w:rsidRPr="005A5520" w:rsidRDefault="005A5520" w:rsidP="005A5520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5A5520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Mots clés :</w:t>
                  </w:r>
                  <w:r>
                    <w:rPr>
                      <w:rFonts w:ascii="Times New Roman" w:hAnsi="Times New Roman" w:cs="Times New Roman"/>
                      <w:color w:val="0070C0"/>
                      <w:sz w:val="24"/>
                      <w:szCs w:val="24"/>
                    </w:rPr>
                    <w:t xml:space="preserve"> </w:t>
                  </w:r>
                  <w:r w:rsidRPr="005A5520">
                    <w:rPr>
                      <w:rFonts w:ascii="Times New Roman" w:hAnsi="Times New Roman" w:cs="Times New Roman"/>
                      <w:sz w:val="24"/>
                      <w:szCs w:val="24"/>
                    </w:rPr>
                    <w:t>Indice</w:t>
                  </w:r>
                  <w:r w:rsidR="00C12B7C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de rétention</w:t>
                  </w:r>
                  <w:bookmarkStart w:id="0" w:name="_GoBack"/>
                  <w:bookmarkEnd w:id="0"/>
                  <w:r w:rsidRPr="005A5520">
                    <w:rPr>
                      <w:rFonts w:ascii="Times New Roman" w:hAnsi="Times New Roman" w:cs="Times New Roman"/>
                      <w:sz w:val="24"/>
                      <w:szCs w:val="24"/>
                    </w:rPr>
                    <w:t>, méthode multiparamétrique (MP), Analyse Factorielle des Correspondances (AFC), Analyse Topologique (Darc /Pelco).</w:t>
                  </w:r>
                </w:p>
                <w:p w:rsidR="00FD2FAB" w:rsidRPr="00A304C7" w:rsidRDefault="00FD2FAB" w:rsidP="00B919EB">
                  <w:pPr>
                    <w:spacing w:after="0" w:line="240" w:lineRule="auto"/>
                    <w:ind w:firstLine="709"/>
                    <w:jc w:val="both"/>
                    <w:rPr>
                      <w:rFonts w:ascii="Times New Roman" w:hAnsi="Times New Roman" w:cs="Times New Roman"/>
                      <w:color w:val="0070C0"/>
                      <w:sz w:val="24"/>
                      <w:szCs w:val="24"/>
                    </w:rPr>
                  </w:pPr>
                </w:p>
                <w:p w:rsidR="00A304C7" w:rsidRPr="00A304C7" w:rsidRDefault="00A304C7" w:rsidP="00A304C7">
                  <w:pPr>
                    <w:jc w:val="both"/>
                    <w:rPr>
                      <w:rFonts w:ascii="Times New Roman" w:eastAsia="TimesNewRoman" w:hAnsi="Times New Roman" w:cs="Times New Roman"/>
                      <w:sz w:val="24"/>
                      <w:szCs w:val="24"/>
                    </w:rPr>
                  </w:pPr>
                </w:p>
                <w:p w:rsidR="009333CE" w:rsidRDefault="009333CE"/>
              </w:txbxContent>
            </v:textbox>
          </v:shape>
        </w:pict>
      </w:r>
    </w:p>
    <w:p w:rsidR="009333CE" w:rsidRDefault="009333CE" w:rsidP="00C63C2F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333CE" w:rsidRDefault="009333CE" w:rsidP="00C63C2F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333CE" w:rsidRDefault="009333CE" w:rsidP="00C63C2F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333CE" w:rsidRDefault="009333CE" w:rsidP="00C63C2F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333CE" w:rsidRDefault="009333CE" w:rsidP="00C63C2F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333CE" w:rsidRDefault="009333CE" w:rsidP="00C63C2F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333CE" w:rsidRDefault="009333CE" w:rsidP="00C63C2F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333CE" w:rsidRDefault="009333CE" w:rsidP="00C63C2F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333CE" w:rsidRDefault="009333CE" w:rsidP="00C63C2F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333CE" w:rsidRDefault="009333CE" w:rsidP="00C63C2F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333CE" w:rsidRDefault="009333CE" w:rsidP="00C63C2F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333CE" w:rsidRDefault="009333CE" w:rsidP="00C63C2F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333CE" w:rsidRDefault="009333CE" w:rsidP="00C63C2F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333CE" w:rsidRDefault="009333CE" w:rsidP="00C63C2F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333CE" w:rsidRDefault="009333CE" w:rsidP="00C63C2F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333CE" w:rsidRDefault="009333CE" w:rsidP="00C63C2F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333CE" w:rsidRDefault="009333CE" w:rsidP="00C63C2F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333CE" w:rsidRDefault="009333CE" w:rsidP="00C63C2F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333CE" w:rsidRDefault="009333CE" w:rsidP="00C63C2F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333CE" w:rsidRDefault="009333CE" w:rsidP="00C63C2F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333CE" w:rsidRDefault="009333CE" w:rsidP="00C63C2F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333CE" w:rsidRDefault="009333CE" w:rsidP="00C63C2F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333CE" w:rsidRDefault="009333CE" w:rsidP="00C63C2F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333CE" w:rsidRDefault="009333CE" w:rsidP="00C63C2F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333CE" w:rsidRDefault="009333CE" w:rsidP="00C63C2F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333CE" w:rsidRDefault="009333CE" w:rsidP="00C63C2F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333CE" w:rsidRDefault="009333CE" w:rsidP="00C63C2F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333CE" w:rsidRDefault="009333CE" w:rsidP="00C63C2F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333CE" w:rsidRDefault="009333CE" w:rsidP="00C63C2F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333CE" w:rsidRDefault="009333CE" w:rsidP="00C63C2F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333CE" w:rsidRDefault="009333CE" w:rsidP="00C63C2F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333CE" w:rsidRDefault="009333CE" w:rsidP="00C63C2F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333CE" w:rsidRDefault="009333CE" w:rsidP="00C63C2F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333CE" w:rsidRDefault="009333CE" w:rsidP="00C63C2F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333CE" w:rsidRDefault="009333CE" w:rsidP="00C63C2F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5A5520" w:rsidRDefault="009333CE" w:rsidP="009333CE">
      <w:pPr>
        <w:tabs>
          <w:tab w:val="left" w:pos="8039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5A5520" w:rsidRDefault="005A5520" w:rsidP="009333CE">
      <w:pPr>
        <w:tabs>
          <w:tab w:val="left" w:pos="8039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A5520" w:rsidRDefault="005A5520" w:rsidP="009333CE">
      <w:pPr>
        <w:tabs>
          <w:tab w:val="left" w:pos="8039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A5520" w:rsidRDefault="008D3C18" w:rsidP="009333CE">
      <w:pPr>
        <w:tabs>
          <w:tab w:val="left" w:pos="8039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333CE" w:rsidRDefault="009333CE" w:rsidP="009333CE">
      <w:pPr>
        <w:tabs>
          <w:tab w:val="left" w:pos="8039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*Thèse de Doctorat es Sciences en Chimie organique Appliquée.</w:t>
      </w:r>
    </w:p>
    <w:p w:rsidR="00154271" w:rsidRDefault="009333CE" w:rsidP="004C655E">
      <w:pPr>
        <w:tabs>
          <w:tab w:val="left" w:pos="8039"/>
        </w:tabs>
        <w:spacing w:after="0" w:line="240" w:lineRule="auto"/>
        <w:rPr>
          <w:rFonts w:ascii="Times New Roman" w:hAnsi="Times New Roman" w:cs="Times New Roman"/>
          <w:color w:val="0070C0"/>
        </w:rPr>
      </w:pPr>
      <w:r>
        <w:rPr>
          <w:rFonts w:ascii="Times New Roman" w:hAnsi="Times New Roman" w:cs="Times New Roman"/>
          <w:sz w:val="24"/>
          <w:szCs w:val="24"/>
        </w:rPr>
        <w:t>**Directeur de Thèse : TOUABET Abdelkrim, Professeur à l’U.S.T.H.B.</w:t>
      </w:r>
    </w:p>
    <w:p w:rsidR="00A304C7" w:rsidRDefault="00A304C7" w:rsidP="00C63C2F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70C0"/>
        </w:rPr>
      </w:pPr>
    </w:p>
    <w:p w:rsidR="00A304C7" w:rsidRDefault="00A304C7" w:rsidP="00C63C2F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70C0"/>
        </w:rPr>
      </w:pPr>
    </w:p>
    <w:p w:rsidR="00A304C7" w:rsidRDefault="00A304C7" w:rsidP="00C63C2F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70C0"/>
        </w:rPr>
      </w:pPr>
    </w:p>
    <w:sectPr w:rsidR="00A304C7" w:rsidSect="005A552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762F" w:rsidRDefault="0014762F" w:rsidP="002C6E3E">
      <w:pPr>
        <w:spacing w:after="0" w:line="240" w:lineRule="auto"/>
      </w:pPr>
      <w:r>
        <w:separator/>
      </w:r>
    </w:p>
  </w:endnote>
  <w:endnote w:type="continuationSeparator" w:id="0">
    <w:p w:rsidR="0014762F" w:rsidRDefault="0014762F" w:rsidP="002C6E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762F" w:rsidRDefault="0014762F" w:rsidP="002C6E3E">
      <w:pPr>
        <w:spacing w:after="0" w:line="240" w:lineRule="auto"/>
      </w:pPr>
      <w:r>
        <w:separator/>
      </w:r>
    </w:p>
  </w:footnote>
  <w:footnote w:type="continuationSeparator" w:id="0">
    <w:p w:rsidR="0014762F" w:rsidRDefault="0014762F" w:rsidP="002C6E3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63C2F"/>
    <w:rsid w:val="00060171"/>
    <w:rsid w:val="00075FF7"/>
    <w:rsid w:val="000A0576"/>
    <w:rsid w:val="001452DE"/>
    <w:rsid w:val="0014762F"/>
    <w:rsid w:val="00154271"/>
    <w:rsid w:val="001803E3"/>
    <w:rsid w:val="00182ECB"/>
    <w:rsid w:val="002C6E3E"/>
    <w:rsid w:val="004C655E"/>
    <w:rsid w:val="004F5822"/>
    <w:rsid w:val="005805B8"/>
    <w:rsid w:val="005A5520"/>
    <w:rsid w:val="00617C3F"/>
    <w:rsid w:val="006655AA"/>
    <w:rsid w:val="006F2AE6"/>
    <w:rsid w:val="007058F3"/>
    <w:rsid w:val="00804C36"/>
    <w:rsid w:val="00811EB1"/>
    <w:rsid w:val="008D3C18"/>
    <w:rsid w:val="008D4D14"/>
    <w:rsid w:val="009333CE"/>
    <w:rsid w:val="00A304C7"/>
    <w:rsid w:val="00A90DA2"/>
    <w:rsid w:val="00B309B9"/>
    <w:rsid w:val="00B919EB"/>
    <w:rsid w:val="00C12B7C"/>
    <w:rsid w:val="00C43993"/>
    <w:rsid w:val="00C63C2F"/>
    <w:rsid w:val="00C66A67"/>
    <w:rsid w:val="00D13AF9"/>
    <w:rsid w:val="00E556CB"/>
    <w:rsid w:val="00FD2F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33C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2C6E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2C6E3E"/>
  </w:style>
  <w:style w:type="paragraph" w:styleId="Pieddepage">
    <w:name w:val="footer"/>
    <w:basedOn w:val="Normal"/>
    <w:link w:val="PieddepageCar"/>
    <w:uiPriority w:val="99"/>
    <w:semiHidden/>
    <w:unhideWhenUsed/>
    <w:rsid w:val="002C6E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2C6E3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44</Words>
  <Characters>246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prive</Company>
  <LinksUpToDate>false</LinksUpToDate>
  <CharactersWithSpaces>289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client</dc:creator>
  <cp:lastModifiedBy>az</cp:lastModifiedBy>
  <cp:revision>7</cp:revision>
  <dcterms:created xsi:type="dcterms:W3CDTF">2014-11-17T16:22:00Z</dcterms:created>
  <dcterms:modified xsi:type="dcterms:W3CDTF">2015-03-14T12:55:00Z</dcterms:modified>
</cp:coreProperties>
</file>