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179C" w:rsidRPr="00BB179C" w:rsidRDefault="00BB179C" w:rsidP="00BB179C">
      <w:pPr>
        <w:bidi w:val="0"/>
        <w:rPr>
          <w:lang w:val="fr-FR" w:bidi="ar-DZ"/>
        </w:rPr>
      </w:pPr>
      <w:r w:rsidRPr="00BB179C">
        <w:rPr>
          <w:lang w:val="fr-FR" w:bidi="ar-DZ"/>
        </w:rPr>
        <w:t xml:space="preserve">L'objectif assigné à cette thèse est d'estimer la charge critique de flambement dynamique des coques cylindriques minces ainsi que le sens de son évolution par rapport aux caractéristiques géométriques de ces structures, à savoir, les ratios d'élancement hauteur-rayon (H/R) et les ratios de rigidité rayon-épaisseur (R/t). Cette dernière est déterminée sous l'effet d'une excitation extérieure dynamique transversale appliquée au sommet. </w:t>
      </w:r>
    </w:p>
    <w:p w:rsidR="00BB179C" w:rsidRPr="00BB179C" w:rsidRDefault="00BB179C" w:rsidP="00BB179C">
      <w:pPr>
        <w:bidi w:val="0"/>
        <w:rPr>
          <w:lang w:val="fr-FR" w:bidi="ar-DZ"/>
        </w:rPr>
      </w:pPr>
      <w:r w:rsidRPr="00BB179C">
        <w:rPr>
          <w:lang w:val="fr-FR" w:bidi="ar-DZ"/>
        </w:rPr>
        <w:t xml:space="preserve">A partir de ces données, le niveau de stabilisation de la charge critique de flambement qui conduit au dimensionnement des ces structures en coques cylindriques, est obtenu. Il est évident d'identifier le niveau d'excitation sismique critique des coques cylindriques minces en déterminant le PGA critique et le sens de son évolution par rapport aux caractéristiques géométriques tout en excitant la base de la structure par des accélérogrammes sismiques. </w:t>
      </w:r>
    </w:p>
    <w:p w:rsidR="007B6BCC" w:rsidRPr="00BB179C" w:rsidRDefault="00BB179C" w:rsidP="00BB179C">
      <w:pPr>
        <w:bidi w:val="0"/>
        <w:rPr>
          <w:rFonts w:hint="cs"/>
          <w:lang w:val="fr-FR" w:bidi="ar-DZ"/>
        </w:rPr>
      </w:pPr>
      <w:r w:rsidRPr="00BB179C">
        <w:rPr>
          <w:lang w:val="fr-FR" w:bidi="ar-DZ"/>
        </w:rPr>
        <w:t>Ce travail est analysé numériquement moyennant le logiciel ANSYS en utilisant les critères de stabilité développés antérieurement, et par une analyse et modélisation des coques cylindriques fissurées par une approche semi-empirique basée sur le  procédé énergétique.</w:t>
      </w:r>
    </w:p>
    <w:sectPr w:rsidR="007B6BCC" w:rsidRPr="00BB179C"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BB179C"/>
    <w:rsid w:val="006D5754"/>
    <w:rsid w:val="007B6BCC"/>
    <w:rsid w:val="00BB179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6BCC"/>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173</Words>
  <Characters>990</Characters>
  <Application>Microsoft Office Word</Application>
  <DocSecurity>0</DocSecurity>
  <Lines>8</Lines>
  <Paragraphs>2</Paragraphs>
  <ScaleCrop>false</ScaleCrop>
  <Company/>
  <LinksUpToDate>false</LinksUpToDate>
  <CharactersWithSpaces>1161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2014-12-10T13:22:00Z</dcterms:created>
  <dcterms:modified xsi:type="dcterms:W3CDTF">2014-12-10T13:23:00Z</dcterms:modified>
</cp:coreProperties>
</file>