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958" w:rsidRPr="004C43AF" w:rsidRDefault="004C43AF" w:rsidP="00625DB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</w:rPr>
      </w:pPr>
      <w:r w:rsidRPr="004C43AF">
        <w:rPr>
          <w:rFonts w:asciiTheme="majorBidi" w:hAnsiTheme="majorBidi" w:cstheme="majorBidi"/>
          <w:b/>
          <w:bCs/>
        </w:rPr>
        <w:t>Résumé</w:t>
      </w:r>
      <w:bookmarkStart w:id="0" w:name="_GoBack"/>
      <w:bookmarkEnd w:id="0"/>
    </w:p>
    <w:p w:rsidR="004C43AF" w:rsidRPr="00A0439E" w:rsidRDefault="004C43AF" w:rsidP="00625DB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</w:rPr>
      </w:pPr>
    </w:p>
    <w:p w:rsidR="00625DBE" w:rsidRPr="00A0439E" w:rsidRDefault="00625DBE" w:rsidP="00625DB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</w:rPr>
      </w:pPr>
    </w:p>
    <w:p w:rsidR="00625DBE" w:rsidRDefault="00625DBE" w:rsidP="005B3041">
      <w:pPr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4C19E1">
        <w:rPr>
          <w:rFonts w:asciiTheme="majorBidi" w:hAnsiTheme="majorBidi" w:cstheme="majorBidi"/>
        </w:rPr>
        <w:t xml:space="preserve">Les relations entre </w:t>
      </w:r>
      <w:r w:rsidR="00076508" w:rsidRPr="004C19E1">
        <w:rPr>
          <w:rFonts w:asciiTheme="majorBidi" w:hAnsiTheme="majorBidi" w:cstheme="majorBidi"/>
        </w:rPr>
        <w:t xml:space="preserve">l’axe </w:t>
      </w:r>
      <w:r w:rsidRPr="004C19E1">
        <w:rPr>
          <w:rFonts w:asciiTheme="majorBidi" w:hAnsiTheme="majorBidi" w:cstheme="majorBidi"/>
        </w:rPr>
        <w:t xml:space="preserve"> </w:t>
      </w:r>
      <w:r w:rsidR="00076508" w:rsidRPr="004C19E1">
        <w:rPr>
          <w:rFonts w:asciiTheme="majorBidi" w:hAnsiTheme="majorBidi" w:cstheme="majorBidi"/>
          <w:sz w:val="24"/>
          <w:szCs w:val="24"/>
        </w:rPr>
        <w:t>corticosurrénalien</w:t>
      </w:r>
      <w:r w:rsidR="00076508" w:rsidRPr="004C19E1">
        <w:rPr>
          <w:rFonts w:asciiTheme="majorBidi" w:hAnsiTheme="majorBidi" w:cstheme="majorBidi"/>
        </w:rPr>
        <w:t xml:space="preserve"> </w:t>
      </w:r>
      <w:r w:rsidRPr="004C19E1">
        <w:rPr>
          <w:rFonts w:asciiTheme="majorBidi" w:hAnsiTheme="majorBidi" w:cstheme="majorBidi"/>
        </w:rPr>
        <w:t>et l’axe thyroïdien sont</w:t>
      </w:r>
      <w:r w:rsidR="00076508" w:rsidRPr="00076508">
        <w:rPr>
          <w:rFonts w:asciiTheme="majorBidi" w:hAnsiTheme="majorBidi" w:cstheme="majorBidi"/>
          <w:sz w:val="24"/>
          <w:szCs w:val="24"/>
        </w:rPr>
        <w:t xml:space="preserve"> </w:t>
      </w:r>
      <w:r w:rsidR="00076508">
        <w:rPr>
          <w:rFonts w:asciiTheme="majorBidi" w:hAnsiTheme="majorBidi" w:cstheme="majorBidi"/>
          <w:sz w:val="24"/>
          <w:szCs w:val="24"/>
        </w:rPr>
        <w:t>des</w:t>
      </w:r>
      <w:r w:rsidRPr="004C19E1">
        <w:rPr>
          <w:rFonts w:asciiTheme="majorBidi" w:hAnsiTheme="majorBidi" w:cstheme="majorBidi"/>
        </w:rPr>
        <w:t xml:space="preserve"> </w:t>
      </w:r>
      <w:r w:rsidR="00076508">
        <w:rPr>
          <w:rFonts w:asciiTheme="majorBidi" w:hAnsiTheme="majorBidi" w:cstheme="majorBidi"/>
        </w:rPr>
        <w:t xml:space="preserve"> </w:t>
      </w:r>
      <w:r w:rsidRPr="004C19E1">
        <w:rPr>
          <w:rFonts w:asciiTheme="majorBidi" w:hAnsiTheme="majorBidi" w:cstheme="majorBidi"/>
        </w:rPr>
        <w:t>interaction</w:t>
      </w:r>
      <w:r>
        <w:rPr>
          <w:rFonts w:asciiTheme="majorBidi" w:hAnsiTheme="majorBidi" w:cstheme="majorBidi"/>
        </w:rPr>
        <w:t>s</w:t>
      </w:r>
      <w:r w:rsidRPr="004C19E1">
        <w:rPr>
          <w:rFonts w:asciiTheme="majorBidi" w:hAnsiTheme="majorBidi" w:cstheme="majorBidi"/>
        </w:rPr>
        <w:t xml:space="preserve"> complexe</w:t>
      </w:r>
      <w:r>
        <w:rPr>
          <w:rFonts w:asciiTheme="majorBidi" w:hAnsiTheme="majorBidi" w:cstheme="majorBidi"/>
        </w:rPr>
        <w:t>s</w:t>
      </w:r>
      <w:r w:rsidRPr="004C19E1">
        <w:rPr>
          <w:rFonts w:asciiTheme="majorBidi" w:hAnsiTheme="majorBidi" w:cstheme="majorBidi"/>
        </w:rPr>
        <w:t xml:space="preserve">. </w:t>
      </w:r>
      <w:r w:rsidRPr="004C19E1">
        <w:rPr>
          <w:rFonts w:asciiTheme="majorBidi" w:hAnsiTheme="majorBidi" w:cstheme="majorBidi"/>
          <w:sz w:val="24"/>
          <w:szCs w:val="24"/>
        </w:rPr>
        <w:t>Plusieurs travaux ont porté sur une éventuelle relation entre l’activation de l’axe corticotrope et la structure et l’activité de la glande thyroïde</w:t>
      </w:r>
      <w:r w:rsidRPr="004C19E1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 xml:space="preserve"> L</w:t>
      </w:r>
      <w:r w:rsidRPr="004C19E1">
        <w:rPr>
          <w:rFonts w:asciiTheme="majorBidi" w:hAnsiTheme="majorBidi" w:cstheme="majorBidi"/>
        </w:rPr>
        <w:t xml:space="preserve">e but de notre </w:t>
      </w:r>
      <w:r>
        <w:rPr>
          <w:rFonts w:asciiTheme="majorBidi" w:hAnsiTheme="majorBidi" w:cstheme="majorBidi"/>
        </w:rPr>
        <w:t>étude est</w:t>
      </w:r>
      <w:r w:rsidR="00813376">
        <w:rPr>
          <w:rFonts w:asciiTheme="majorBidi" w:hAnsiTheme="majorBidi" w:cstheme="majorBidi"/>
        </w:rPr>
        <w:t xml:space="preserve">, d’une part </w:t>
      </w:r>
      <w:r w:rsidR="00076508">
        <w:rPr>
          <w:rFonts w:asciiTheme="majorBidi" w:hAnsiTheme="majorBidi" w:cstheme="majorBidi"/>
          <w:sz w:val="24"/>
          <w:szCs w:val="24"/>
        </w:rPr>
        <w:t>l’é</w:t>
      </w:r>
      <w:r w:rsidR="00076508" w:rsidRPr="0021491A">
        <w:rPr>
          <w:rFonts w:asciiTheme="majorBidi" w:hAnsiTheme="majorBidi" w:cstheme="majorBidi"/>
          <w:sz w:val="24"/>
          <w:szCs w:val="24"/>
        </w:rPr>
        <w:t>tude de la structure et de l’activité de la glande thyroïde après</w:t>
      </w:r>
      <w:r w:rsidR="00076508">
        <w:rPr>
          <w:rFonts w:asciiTheme="majorBidi" w:hAnsiTheme="majorBidi" w:cstheme="majorBidi"/>
          <w:sz w:val="24"/>
          <w:szCs w:val="24"/>
        </w:rPr>
        <w:t xml:space="preserve"> un</w:t>
      </w:r>
      <w:r w:rsidR="00076508" w:rsidRPr="0021491A">
        <w:rPr>
          <w:rFonts w:asciiTheme="majorBidi" w:hAnsiTheme="majorBidi" w:cstheme="majorBidi"/>
          <w:sz w:val="24"/>
          <w:szCs w:val="24"/>
        </w:rPr>
        <w:t xml:space="preserve"> </w:t>
      </w:r>
      <w:r w:rsidR="00076508">
        <w:rPr>
          <w:rFonts w:asciiTheme="majorBidi" w:hAnsiTheme="majorBidi" w:cstheme="majorBidi"/>
          <w:sz w:val="24"/>
          <w:szCs w:val="24"/>
        </w:rPr>
        <w:t xml:space="preserve">traitement </w:t>
      </w:r>
      <w:r w:rsidR="00076508" w:rsidRPr="0021491A">
        <w:rPr>
          <w:rFonts w:asciiTheme="majorBidi" w:hAnsiTheme="majorBidi" w:cstheme="majorBidi"/>
          <w:sz w:val="24"/>
          <w:szCs w:val="24"/>
        </w:rPr>
        <w:t>activat</w:t>
      </w:r>
      <w:r w:rsidR="00076508">
        <w:rPr>
          <w:rFonts w:asciiTheme="majorBidi" w:hAnsiTheme="majorBidi" w:cstheme="majorBidi"/>
          <w:sz w:val="24"/>
          <w:szCs w:val="24"/>
        </w:rPr>
        <w:t>eur</w:t>
      </w:r>
      <w:r w:rsidR="00076508" w:rsidRPr="0021491A">
        <w:rPr>
          <w:rFonts w:asciiTheme="majorBidi" w:hAnsiTheme="majorBidi" w:cstheme="majorBidi"/>
          <w:sz w:val="24"/>
          <w:szCs w:val="24"/>
        </w:rPr>
        <w:t xml:space="preserve"> de la glande surrénale chez le rat Wistar femelle</w:t>
      </w:r>
      <w:r w:rsidR="00076508" w:rsidRPr="00076508">
        <w:rPr>
          <w:rFonts w:asciiTheme="majorBidi" w:hAnsiTheme="majorBidi" w:cstheme="majorBidi"/>
          <w:sz w:val="24"/>
          <w:szCs w:val="24"/>
        </w:rPr>
        <w:t xml:space="preserve"> </w:t>
      </w:r>
      <w:r w:rsidR="00076508">
        <w:rPr>
          <w:rFonts w:asciiTheme="majorBidi" w:hAnsiTheme="majorBidi" w:cstheme="majorBidi"/>
          <w:sz w:val="24"/>
          <w:szCs w:val="24"/>
        </w:rPr>
        <w:t>et d’autre part,</w:t>
      </w:r>
      <w:r w:rsidR="00076508" w:rsidRPr="004C19E1">
        <w:rPr>
          <w:rFonts w:asciiTheme="majorBidi" w:hAnsiTheme="majorBidi" w:cstheme="majorBidi"/>
        </w:rPr>
        <w:t xml:space="preserve"> </w:t>
      </w:r>
      <w:r w:rsidRPr="004F6DA9">
        <w:rPr>
          <w:rFonts w:asciiTheme="majorBidi" w:hAnsiTheme="majorBidi" w:cstheme="majorBidi"/>
        </w:rPr>
        <w:t>l’</w:t>
      </w:r>
      <w:r w:rsidR="005D23BA" w:rsidRPr="004F6DA9">
        <w:rPr>
          <w:rFonts w:asciiTheme="majorBidi" w:hAnsiTheme="majorBidi" w:cstheme="majorBidi"/>
        </w:rPr>
        <w:t>évaluation du cortisol circulant</w:t>
      </w:r>
      <w:r w:rsidR="005D23BA">
        <w:rPr>
          <w:rFonts w:asciiTheme="majorBidi" w:hAnsiTheme="majorBidi" w:cstheme="majorBidi"/>
        </w:rPr>
        <w:t xml:space="preserve"> chez </w:t>
      </w:r>
      <w:r w:rsidRPr="004C19E1">
        <w:rPr>
          <w:rFonts w:asciiTheme="majorBidi" w:hAnsiTheme="majorBidi" w:cstheme="majorBidi"/>
          <w:sz w:val="24"/>
          <w:szCs w:val="24"/>
        </w:rPr>
        <w:t>une population de femmes atteinte de  dysthyroidie</w:t>
      </w:r>
      <w:r w:rsidR="00813376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. Les travaux ont été réalisés </w:t>
      </w:r>
      <w:r w:rsidR="005D23BA">
        <w:rPr>
          <w:rFonts w:asciiTheme="majorBidi" w:hAnsiTheme="majorBidi" w:cstheme="majorBidi"/>
          <w:sz w:val="24"/>
          <w:szCs w:val="24"/>
        </w:rPr>
        <w:t xml:space="preserve">sur un lot de rats Wistar répartis en deux lots :  un lot  témoin (T) et un lot traité (S) recevant une </w:t>
      </w:r>
      <w:r w:rsidR="005D23BA" w:rsidRPr="00BC3EAC">
        <w:rPr>
          <w:rFonts w:asciiTheme="majorBidi" w:hAnsiTheme="majorBidi" w:cstheme="majorBidi"/>
          <w:sz w:val="24"/>
          <w:szCs w:val="24"/>
        </w:rPr>
        <w:t>inject</w:t>
      </w:r>
      <w:r w:rsidR="005D23BA">
        <w:rPr>
          <w:rFonts w:asciiTheme="majorBidi" w:hAnsiTheme="majorBidi" w:cstheme="majorBidi"/>
          <w:sz w:val="24"/>
          <w:szCs w:val="24"/>
        </w:rPr>
        <w:t xml:space="preserve">ion </w:t>
      </w:r>
      <w:r w:rsidR="005D23BA" w:rsidRPr="00BC3EAC">
        <w:rPr>
          <w:rFonts w:asciiTheme="majorBidi" w:hAnsiTheme="majorBidi" w:cstheme="majorBidi"/>
          <w:sz w:val="24"/>
          <w:szCs w:val="24"/>
        </w:rPr>
        <w:t>intramusculaire</w:t>
      </w:r>
      <w:r w:rsidR="005D23BA">
        <w:rPr>
          <w:rFonts w:asciiTheme="majorBidi" w:hAnsiTheme="majorBidi" w:cstheme="majorBidi"/>
          <w:sz w:val="24"/>
          <w:szCs w:val="24"/>
        </w:rPr>
        <w:t xml:space="preserve"> quotidienne de</w:t>
      </w:r>
      <w:r w:rsidR="005D23BA" w:rsidRPr="00BC3EAC">
        <w:rPr>
          <w:rFonts w:asciiTheme="majorBidi" w:hAnsiTheme="majorBidi" w:cstheme="majorBidi"/>
          <w:sz w:val="24"/>
          <w:szCs w:val="24"/>
        </w:rPr>
        <w:t xml:space="preserve"> </w:t>
      </w:r>
      <w:r w:rsidR="005D23BA">
        <w:rPr>
          <w:rFonts w:asciiTheme="majorBidi" w:hAnsiTheme="majorBidi" w:cstheme="majorBidi"/>
          <w:sz w:val="24"/>
          <w:szCs w:val="24"/>
        </w:rPr>
        <w:t>C</w:t>
      </w:r>
      <w:r w:rsidR="005D23BA" w:rsidRPr="00BC3EAC">
        <w:rPr>
          <w:rFonts w:asciiTheme="majorBidi" w:hAnsiTheme="majorBidi" w:cstheme="majorBidi"/>
          <w:sz w:val="24"/>
          <w:szCs w:val="24"/>
        </w:rPr>
        <w:t>ortrosyn</w:t>
      </w:r>
      <w:r w:rsidR="005D23BA">
        <w:rPr>
          <w:rFonts w:asciiTheme="majorBidi" w:hAnsiTheme="majorBidi" w:cstheme="majorBidi"/>
          <w:sz w:val="24"/>
          <w:szCs w:val="24"/>
        </w:rPr>
        <w:t xml:space="preserve"> à raison de  </w:t>
      </w:r>
      <w:r w:rsidR="005D23BA" w:rsidRPr="00BC3EAC">
        <w:rPr>
          <w:rFonts w:asciiTheme="majorBidi" w:hAnsiTheme="majorBidi" w:cstheme="majorBidi"/>
          <w:sz w:val="24"/>
          <w:szCs w:val="24"/>
        </w:rPr>
        <w:t>0,</w:t>
      </w:r>
      <w:r w:rsidR="005D23BA">
        <w:rPr>
          <w:rFonts w:asciiTheme="majorBidi" w:hAnsiTheme="majorBidi" w:cstheme="majorBidi"/>
          <w:sz w:val="24"/>
          <w:szCs w:val="24"/>
        </w:rPr>
        <w:t>01</w:t>
      </w:r>
      <w:r w:rsidR="005D23BA" w:rsidRPr="00BC3EAC">
        <w:rPr>
          <w:rFonts w:asciiTheme="majorBidi" w:hAnsiTheme="majorBidi" w:cstheme="majorBidi"/>
          <w:sz w:val="24"/>
          <w:szCs w:val="24"/>
        </w:rPr>
        <w:t xml:space="preserve">mg /100g </w:t>
      </w:r>
      <w:r w:rsidR="005D23BA">
        <w:rPr>
          <w:rFonts w:asciiTheme="majorBidi" w:hAnsiTheme="majorBidi" w:cstheme="majorBidi"/>
          <w:sz w:val="24"/>
          <w:szCs w:val="24"/>
        </w:rPr>
        <w:t xml:space="preserve">de poids corporel durant 20 jours et </w:t>
      </w:r>
      <w:r>
        <w:rPr>
          <w:rFonts w:asciiTheme="majorBidi" w:hAnsiTheme="majorBidi" w:cstheme="majorBidi"/>
          <w:sz w:val="24"/>
          <w:szCs w:val="24"/>
        </w:rPr>
        <w:t>au sein d’une population humaine r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>partie en deux groupes : la sous</w:t>
      </w:r>
      <w:r w:rsidR="00813376">
        <w:rPr>
          <w:rFonts w:asciiTheme="majorBidi" w:hAnsiTheme="majorBidi" w:cstheme="majorBidi"/>
          <w:sz w:val="24"/>
          <w:szCs w:val="24"/>
        </w:rPr>
        <w:t>-</w:t>
      </w:r>
      <w:r>
        <w:rPr>
          <w:rFonts w:asciiTheme="majorBidi" w:hAnsiTheme="majorBidi" w:cstheme="majorBidi"/>
          <w:sz w:val="24"/>
          <w:szCs w:val="24"/>
        </w:rPr>
        <w:t>population témoin (T) et la sous</w:t>
      </w:r>
      <w:r w:rsidR="00813376">
        <w:rPr>
          <w:rFonts w:asciiTheme="majorBidi" w:hAnsiTheme="majorBidi" w:cstheme="majorBidi"/>
          <w:sz w:val="24"/>
          <w:szCs w:val="24"/>
        </w:rPr>
        <w:t>-</w:t>
      </w:r>
      <w:r>
        <w:rPr>
          <w:rFonts w:asciiTheme="majorBidi" w:hAnsiTheme="majorBidi" w:cstheme="majorBidi"/>
          <w:sz w:val="24"/>
          <w:szCs w:val="24"/>
        </w:rPr>
        <w:t>population atteinte d</w:t>
      </w:r>
      <w:r w:rsidR="005D23BA">
        <w:rPr>
          <w:rFonts w:asciiTheme="majorBidi" w:hAnsiTheme="majorBidi" w:cstheme="majorBidi"/>
          <w:sz w:val="24"/>
          <w:szCs w:val="24"/>
        </w:rPr>
        <w:t>e</w:t>
      </w:r>
      <w:r>
        <w:rPr>
          <w:rFonts w:asciiTheme="majorBidi" w:hAnsiTheme="majorBidi" w:cstheme="majorBidi"/>
          <w:sz w:val="24"/>
          <w:szCs w:val="24"/>
        </w:rPr>
        <w:t xml:space="preserve"> dysthyro</w:t>
      </w:r>
      <w:r w:rsidR="005B3041" w:rsidRPr="004C19E1">
        <w:rPr>
          <w:rFonts w:asciiTheme="majorBidi" w:hAnsiTheme="majorBidi" w:cstheme="majorBidi"/>
        </w:rPr>
        <w:t>ï</w:t>
      </w:r>
      <w:r>
        <w:rPr>
          <w:rFonts w:asciiTheme="majorBidi" w:hAnsiTheme="majorBidi" w:cstheme="majorBidi"/>
          <w:sz w:val="24"/>
          <w:szCs w:val="24"/>
        </w:rPr>
        <w:t>die</w:t>
      </w:r>
      <w:r w:rsidR="005D23BA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r w:rsidR="00156D98">
        <w:rPr>
          <w:rFonts w:asciiTheme="majorBidi" w:hAnsiTheme="majorBidi" w:cstheme="majorBidi"/>
          <w:sz w:val="24"/>
          <w:szCs w:val="24"/>
        </w:rPr>
        <w:t>hyperthyroïdie</w:t>
      </w:r>
      <w:r>
        <w:rPr>
          <w:rFonts w:asciiTheme="majorBidi" w:hAnsiTheme="majorBidi" w:cstheme="majorBidi"/>
          <w:sz w:val="24"/>
          <w:szCs w:val="24"/>
        </w:rPr>
        <w:t xml:space="preserve"> et </w:t>
      </w:r>
      <w:r w:rsidR="005D23BA">
        <w:rPr>
          <w:rFonts w:asciiTheme="majorBidi" w:hAnsiTheme="majorBidi" w:cstheme="majorBidi"/>
          <w:sz w:val="24"/>
          <w:szCs w:val="24"/>
        </w:rPr>
        <w:t>hypothyroïdie</w:t>
      </w:r>
      <w:r w:rsidR="00156D98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="005D23BA">
        <w:rPr>
          <w:rFonts w:asciiTheme="majorBidi" w:hAnsiTheme="majorBidi" w:cstheme="majorBidi"/>
          <w:sz w:val="24"/>
          <w:szCs w:val="24"/>
        </w:rPr>
        <w:t>L</w:t>
      </w:r>
      <w:r w:rsidR="00EF5483">
        <w:rPr>
          <w:rFonts w:asciiTheme="majorBidi" w:hAnsiTheme="majorBidi" w:cstheme="majorBidi"/>
          <w:sz w:val="24"/>
          <w:szCs w:val="24"/>
        </w:rPr>
        <w:t>es param</w:t>
      </w:r>
      <w:r w:rsidR="005D23BA">
        <w:rPr>
          <w:rFonts w:asciiTheme="majorBidi" w:hAnsiTheme="majorBidi" w:cstheme="majorBidi"/>
          <w:sz w:val="24"/>
          <w:szCs w:val="24"/>
        </w:rPr>
        <w:t>è</w:t>
      </w:r>
      <w:r w:rsidR="00EF5483">
        <w:rPr>
          <w:rFonts w:asciiTheme="majorBidi" w:hAnsiTheme="majorBidi" w:cstheme="majorBidi"/>
          <w:sz w:val="24"/>
          <w:szCs w:val="24"/>
        </w:rPr>
        <w:t>tres lipidiques sont estim</w:t>
      </w:r>
      <w:r w:rsidR="005D23BA">
        <w:rPr>
          <w:rFonts w:asciiTheme="majorBidi" w:hAnsiTheme="majorBidi" w:cstheme="majorBidi"/>
          <w:sz w:val="24"/>
          <w:szCs w:val="24"/>
        </w:rPr>
        <w:t>é</w:t>
      </w:r>
      <w:r w:rsidR="00EF5483">
        <w:rPr>
          <w:rFonts w:asciiTheme="majorBidi" w:hAnsiTheme="majorBidi" w:cstheme="majorBidi"/>
          <w:sz w:val="24"/>
          <w:szCs w:val="24"/>
        </w:rPr>
        <w:t>s par m</w:t>
      </w:r>
      <w:r w:rsidR="005D23BA">
        <w:rPr>
          <w:rFonts w:asciiTheme="majorBidi" w:hAnsiTheme="majorBidi" w:cstheme="majorBidi"/>
          <w:sz w:val="24"/>
          <w:szCs w:val="24"/>
        </w:rPr>
        <w:t>é</w:t>
      </w:r>
      <w:r w:rsidR="00EF5483">
        <w:rPr>
          <w:rFonts w:asciiTheme="majorBidi" w:hAnsiTheme="majorBidi" w:cstheme="majorBidi"/>
          <w:sz w:val="24"/>
          <w:szCs w:val="24"/>
        </w:rPr>
        <w:t>thode colorim</w:t>
      </w:r>
      <w:r w:rsidR="005D23BA">
        <w:rPr>
          <w:rFonts w:asciiTheme="majorBidi" w:hAnsiTheme="majorBidi" w:cstheme="majorBidi"/>
          <w:sz w:val="24"/>
          <w:szCs w:val="24"/>
        </w:rPr>
        <w:t>é</w:t>
      </w:r>
      <w:r w:rsidR="00EF5483">
        <w:rPr>
          <w:rFonts w:asciiTheme="majorBidi" w:hAnsiTheme="majorBidi" w:cstheme="majorBidi"/>
          <w:sz w:val="24"/>
          <w:szCs w:val="24"/>
        </w:rPr>
        <w:t>trique</w:t>
      </w:r>
      <w:r w:rsidR="005D23BA">
        <w:rPr>
          <w:rFonts w:asciiTheme="majorBidi" w:hAnsiTheme="majorBidi" w:cstheme="majorBidi"/>
          <w:sz w:val="24"/>
          <w:szCs w:val="24"/>
        </w:rPr>
        <w:t>,</w:t>
      </w:r>
      <w:r w:rsidR="00EF5483">
        <w:rPr>
          <w:rFonts w:asciiTheme="majorBidi" w:hAnsiTheme="majorBidi" w:cstheme="majorBidi"/>
          <w:sz w:val="24"/>
          <w:szCs w:val="24"/>
        </w:rPr>
        <w:t xml:space="preserve"> </w:t>
      </w:r>
      <w:r w:rsidR="005D23BA">
        <w:rPr>
          <w:rFonts w:asciiTheme="majorBidi" w:hAnsiTheme="majorBidi" w:cstheme="majorBidi"/>
          <w:sz w:val="24"/>
          <w:szCs w:val="24"/>
        </w:rPr>
        <w:t xml:space="preserve">les teneurs hormonales sont </w:t>
      </w:r>
      <w:r w:rsidR="005D23BA" w:rsidRPr="004C19E1">
        <w:rPr>
          <w:rFonts w:asciiTheme="majorBidi" w:hAnsiTheme="majorBidi" w:cstheme="majorBidi"/>
          <w:sz w:val="24"/>
          <w:szCs w:val="24"/>
        </w:rPr>
        <w:t>d</w:t>
      </w:r>
      <w:r w:rsidR="005D23BA">
        <w:rPr>
          <w:rFonts w:asciiTheme="majorBidi" w:hAnsiTheme="majorBidi" w:cstheme="majorBidi"/>
          <w:sz w:val="24"/>
          <w:szCs w:val="24"/>
        </w:rPr>
        <w:t xml:space="preserve">éterminées par des dosages radioimmunologique et radioimmunométrique </w:t>
      </w:r>
      <w:r w:rsidR="00EF5483">
        <w:rPr>
          <w:rFonts w:asciiTheme="majorBidi" w:hAnsiTheme="majorBidi" w:cstheme="majorBidi"/>
          <w:sz w:val="24"/>
          <w:szCs w:val="24"/>
        </w:rPr>
        <w:t xml:space="preserve">et 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1624BD">
        <w:rPr>
          <w:rFonts w:asciiTheme="majorBidi" w:hAnsiTheme="majorBidi" w:cstheme="majorBidi"/>
          <w:sz w:val="24"/>
          <w:szCs w:val="24"/>
        </w:rPr>
        <w:t>l</w:t>
      </w:r>
      <w:r w:rsidR="00EF5483">
        <w:rPr>
          <w:rFonts w:asciiTheme="majorBidi" w:hAnsiTheme="majorBidi" w:cstheme="majorBidi"/>
          <w:sz w:val="24"/>
          <w:szCs w:val="24"/>
        </w:rPr>
        <w:t>es glandes</w:t>
      </w:r>
      <w:r w:rsidRPr="001624BD">
        <w:rPr>
          <w:rFonts w:asciiTheme="majorBidi" w:hAnsiTheme="majorBidi" w:cstheme="majorBidi"/>
          <w:sz w:val="24"/>
          <w:szCs w:val="24"/>
        </w:rPr>
        <w:t xml:space="preserve"> thyro</w:t>
      </w:r>
      <w:r w:rsidR="005B3041" w:rsidRPr="004C19E1">
        <w:rPr>
          <w:rFonts w:asciiTheme="majorBidi" w:hAnsiTheme="majorBidi" w:cstheme="majorBidi"/>
        </w:rPr>
        <w:t>ï</w:t>
      </w:r>
      <w:r w:rsidRPr="001624BD">
        <w:rPr>
          <w:rFonts w:asciiTheme="majorBidi" w:hAnsiTheme="majorBidi" w:cstheme="majorBidi"/>
          <w:sz w:val="24"/>
          <w:szCs w:val="24"/>
        </w:rPr>
        <w:t>de et surr</w:t>
      </w:r>
      <w:r>
        <w:rPr>
          <w:rFonts w:asciiTheme="majorBidi" w:hAnsiTheme="majorBidi" w:cstheme="majorBidi"/>
          <w:sz w:val="24"/>
          <w:szCs w:val="24"/>
        </w:rPr>
        <w:t>é</w:t>
      </w:r>
      <w:r w:rsidRPr="001624BD">
        <w:rPr>
          <w:rFonts w:asciiTheme="majorBidi" w:hAnsiTheme="majorBidi" w:cstheme="majorBidi"/>
          <w:sz w:val="24"/>
          <w:szCs w:val="24"/>
        </w:rPr>
        <w:t>nale</w:t>
      </w:r>
      <w:r w:rsidR="00EF5483">
        <w:rPr>
          <w:rFonts w:asciiTheme="majorBidi" w:hAnsiTheme="majorBidi" w:cstheme="majorBidi"/>
          <w:sz w:val="24"/>
          <w:szCs w:val="24"/>
        </w:rPr>
        <w:t xml:space="preserve"> sont </w:t>
      </w:r>
      <w:r w:rsidR="005D23BA">
        <w:rPr>
          <w:rFonts w:asciiTheme="majorBidi" w:hAnsiTheme="majorBidi" w:cstheme="majorBidi"/>
          <w:sz w:val="24"/>
          <w:szCs w:val="24"/>
        </w:rPr>
        <w:t>é</w:t>
      </w:r>
      <w:r w:rsidR="00EF5483">
        <w:rPr>
          <w:rFonts w:asciiTheme="majorBidi" w:hAnsiTheme="majorBidi" w:cstheme="majorBidi"/>
          <w:sz w:val="24"/>
          <w:szCs w:val="24"/>
        </w:rPr>
        <w:t>tudi</w:t>
      </w:r>
      <w:r w:rsidR="005D23BA">
        <w:rPr>
          <w:rFonts w:asciiTheme="majorBidi" w:hAnsiTheme="majorBidi" w:cstheme="majorBidi"/>
          <w:sz w:val="24"/>
          <w:szCs w:val="24"/>
        </w:rPr>
        <w:t>é</w:t>
      </w:r>
      <w:r w:rsidR="00EF5483">
        <w:rPr>
          <w:rFonts w:asciiTheme="majorBidi" w:hAnsiTheme="majorBidi" w:cstheme="majorBidi"/>
          <w:sz w:val="24"/>
          <w:szCs w:val="24"/>
        </w:rPr>
        <w:t xml:space="preserve">es par histologie. </w:t>
      </w:r>
      <w:r>
        <w:rPr>
          <w:rFonts w:asciiTheme="majorBidi" w:hAnsiTheme="majorBidi" w:cstheme="majorBidi"/>
          <w:sz w:val="24"/>
          <w:szCs w:val="24"/>
        </w:rPr>
        <w:t xml:space="preserve">L’administration du </w:t>
      </w:r>
      <w:r w:rsidR="00E56D22">
        <w:rPr>
          <w:rFonts w:asciiTheme="majorBidi" w:hAnsiTheme="majorBidi" w:cstheme="majorBidi"/>
          <w:sz w:val="24"/>
          <w:szCs w:val="24"/>
        </w:rPr>
        <w:t>C</w:t>
      </w:r>
      <w:r>
        <w:rPr>
          <w:rFonts w:asciiTheme="majorBidi" w:hAnsiTheme="majorBidi" w:cstheme="majorBidi"/>
          <w:sz w:val="24"/>
          <w:szCs w:val="24"/>
        </w:rPr>
        <w:t xml:space="preserve">ortrosyn aux rats </w:t>
      </w:r>
      <w:r w:rsidR="005D23BA">
        <w:rPr>
          <w:rFonts w:asciiTheme="majorBidi" w:hAnsiTheme="majorBidi" w:cstheme="majorBidi"/>
          <w:sz w:val="24"/>
          <w:szCs w:val="24"/>
        </w:rPr>
        <w:t>à</w:t>
      </w:r>
      <w:r>
        <w:rPr>
          <w:rFonts w:asciiTheme="majorBidi" w:hAnsiTheme="majorBidi" w:cstheme="majorBidi"/>
          <w:sz w:val="24"/>
          <w:szCs w:val="24"/>
        </w:rPr>
        <w:t xml:space="preserve"> raison de </w:t>
      </w:r>
      <w:r w:rsidRPr="00BC3EAC">
        <w:rPr>
          <w:rFonts w:asciiTheme="majorBidi" w:hAnsiTheme="majorBidi" w:cstheme="majorBidi"/>
          <w:sz w:val="24"/>
          <w:szCs w:val="24"/>
        </w:rPr>
        <w:t>0,</w:t>
      </w:r>
      <w:r>
        <w:rPr>
          <w:rFonts w:asciiTheme="majorBidi" w:hAnsiTheme="majorBidi" w:cstheme="majorBidi"/>
          <w:sz w:val="24"/>
          <w:szCs w:val="24"/>
        </w:rPr>
        <w:t>01</w:t>
      </w:r>
      <w:r w:rsidRPr="00BC3EAC">
        <w:rPr>
          <w:rFonts w:asciiTheme="majorBidi" w:hAnsiTheme="majorBidi" w:cstheme="majorBidi"/>
          <w:sz w:val="24"/>
          <w:szCs w:val="24"/>
        </w:rPr>
        <w:t>mg /100g PC</w:t>
      </w:r>
      <w:r>
        <w:rPr>
          <w:rFonts w:asciiTheme="majorBidi" w:hAnsiTheme="majorBidi" w:cstheme="majorBidi"/>
          <w:sz w:val="24"/>
          <w:szCs w:val="24"/>
        </w:rPr>
        <w:t xml:space="preserve"> provoque une diminution significative de la prise alimentaire et de la quantit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 xml:space="preserve"> d’eau ing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>r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>e entrainant une r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 xml:space="preserve">duction du poids corporel, une variation </w:t>
      </w:r>
      <w:r w:rsidR="005D23BA">
        <w:rPr>
          <w:rFonts w:asciiTheme="majorBidi" w:hAnsiTheme="majorBidi" w:cstheme="majorBidi"/>
          <w:sz w:val="24"/>
          <w:szCs w:val="24"/>
        </w:rPr>
        <w:t xml:space="preserve">non significative </w:t>
      </w:r>
      <w:r>
        <w:rPr>
          <w:rFonts w:asciiTheme="majorBidi" w:hAnsiTheme="majorBidi" w:cstheme="majorBidi"/>
          <w:sz w:val="24"/>
          <w:szCs w:val="24"/>
        </w:rPr>
        <w:t>des param</w:t>
      </w:r>
      <w:r w:rsidR="005D23BA">
        <w:rPr>
          <w:rFonts w:asciiTheme="majorBidi" w:hAnsiTheme="majorBidi" w:cstheme="majorBidi"/>
          <w:sz w:val="24"/>
          <w:szCs w:val="24"/>
        </w:rPr>
        <w:t>è</w:t>
      </w:r>
      <w:r>
        <w:rPr>
          <w:rFonts w:asciiTheme="majorBidi" w:hAnsiTheme="majorBidi" w:cstheme="majorBidi"/>
          <w:sz w:val="24"/>
          <w:szCs w:val="24"/>
        </w:rPr>
        <w:t>tres lipidiques plasmatiques ainsi que des modifications de la structure des glandes thyro</w:t>
      </w:r>
      <w:r w:rsidR="005B3041" w:rsidRPr="004C19E1">
        <w:rPr>
          <w:rFonts w:asciiTheme="majorBidi" w:hAnsiTheme="majorBidi" w:cstheme="majorBidi"/>
        </w:rPr>
        <w:t>ï</w:t>
      </w:r>
      <w:r>
        <w:rPr>
          <w:rFonts w:asciiTheme="majorBidi" w:hAnsiTheme="majorBidi" w:cstheme="majorBidi"/>
          <w:sz w:val="24"/>
          <w:szCs w:val="24"/>
        </w:rPr>
        <w:t>de et surr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 w:rsidR="00EF5483">
        <w:rPr>
          <w:rFonts w:asciiTheme="majorBidi" w:hAnsiTheme="majorBidi" w:cstheme="majorBidi"/>
          <w:sz w:val="24"/>
          <w:szCs w:val="24"/>
        </w:rPr>
        <w:t>nal</w:t>
      </w:r>
      <w:r>
        <w:rPr>
          <w:rFonts w:asciiTheme="majorBidi" w:hAnsiTheme="majorBidi" w:cstheme="majorBidi"/>
          <w:sz w:val="24"/>
          <w:szCs w:val="24"/>
        </w:rPr>
        <w:t xml:space="preserve">e. Des variations </w:t>
      </w:r>
      <w:r w:rsidR="005D23BA">
        <w:rPr>
          <w:rFonts w:asciiTheme="majorBidi" w:hAnsiTheme="majorBidi" w:cstheme="majorBidi"/>
          <w:sz w:val="24"/>
          <w:szCs w:val="24"/>
        </w:rPr>
        <w:t>significatives des taux plasmatiques en hormones thyro</w:t>
      </w:r>
      <w:r w:rsidR="005D23BA" w:rsidRPr="004C19E1">
        <w:rPr>
          <w:rFonts w:asciiTheme="majorBidi" w:hAnsiTheme="majorBidi" w:cstheme="majorBidi"/>
        </w:rPr>
        <w:t>ï</w:t>
      </w:r>
      <w:r w:rsidR="005D23BA">
        <w:rPr>
          <w:rFonts w:asciiTheme="majorBidi" w:hAnsiTheme="majorBidi" w:cstheme="majorBidi"/>
          <w:sz w:val="24"/>
          <w:szCs w:val="24"/>
        </w:rPr>
        <w:t xml:space="preserve">diennes chez nos animaux et </w:t>
      </w:r>
      <w:r w:rsidR="00E56D22">
        <w:rPr>
          <w:rFonts w:asciiTheme="majorBidi" w:hAnsiTheme="majorBidi" w:cstheme="majorBidi"/>
          <w:sz w:val="24"/>
          <w:szCs w:val="24"/>
        </w:rPr>
        <w:t xml:space="preserve">non significative </w:t>
      </w:r>
      <w:r>
        <w:rPr>
          <w:rFonts w:asciiTheme="majorBidi" w:hAnsiTheme="majorBidi" w:cstheme="majorBidi"/>
          <w:sz w:val="24"/>
          <w:szCs w:val="24"/>
        </w:rPr>
        <w:t xml:space="preserve">de la teneur plasmatique en </w:t>
      </w:r>
      <w:r w:rsidR="00E56D22">
        <w:rPr>
          <w:rFonts w:asciiTheme="majorBidi" w:hAnsiTheme="majorBidi" w:cstheme="majorBidi"/>
          <w:sz w:val="24"/>
          <w:szCs w:val="24"/>
        </w:rPr>
        <w:t>c</w:t>
      </w:r>
      <w:r w:rsidR="005B3041">
        <w:rPr>
          <w:rFonts w:asciiTheme="majorBidi" w:hAnsiTheme="majorBidi" w:cstheme="majorBidi"/>
          <w:sz w:val="24"/>
          <w:szCs w:val="24"/>
        </w:rPr>
        <w:t xml:space="preserve">ortisol </w:t>
      </w:r>
      <w:r w:rsidR="005D23BA">
        <w:rPr>
          <w:rFonts w:asciiTheme="majorBidi" w:hAnsiTheme="majorBidi" w:cstheme="majorBidi"/>
          <w:sz w:val="24"/>
          <w:szCs w:val="24"/>
        </w:rPr>
        <w:t xml:space="preserve">chez la sous population atteinte de </w:t>
      </w:r>
      <w:r w:rsidR="00E56D22">
        <w:rPr>
          <w:rFonts w:asciiTheme="majorBidi" w:hAnsiTheme="majorBidi" w:cstheme="majorBidi"/>
          <w:sz w:val="24"/>
          <w:szCs w:val="24"/>
        </w:rPr>
        <w:t>hyper</w:t>
      </w:r>
      <w:r w:rsidR="005D23BA">
        <w:rPr>
          <w:rFonts w:asciiTheme="majorBidi" w:hAnsiTheme="majorBidi" w:cstheme="majorBidi"/>
          <w:sz w:val="24"/>
          <w:szCs w:val="24"/>
        </w:rPr>
        <w:t>thyroïdie</w:t>
      </w:r>
      <w:r w:rsidR="005B304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ont été observ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 xml:space="preserve">es et </w:t>
      </w:r>
      <w:r w:rsidR="005B3041">
        <w:rPr>
          <w:rFonts w:asciiTheme="majorBidi" w:hAnsiTheme="majorBidi" w:cstheme="majorBidi"/>
          <w:sz w:val="24"/>
          <w:szCs w:val="24"/>
        </w:rPr>
        <w:t xml:space="preserve">sont en faveur </w:t>
      </w:r>
      <w:r>
        <w:rPr>
          <w:rFonts w:asciiTheme="majorBidi" w:hAnsiTheme="majorBidi" w:cstheme="majorBidi"/>
          <w:sz w:val="24"/>
          <w:szCs w:val="24"/>
        </w:rPr>
        <w:t>d’une inter</w:t>
      </w:r>
      <w:r w:rsidR="00EF5483">
        <w:rPr>
          <w:rFonts w:asciiTheme="majorBidi" w:hAnsiTheme="majorBidi" w:cstheme="majorBidi"/>
          <w:sz w:val="24"/>
          <w:szCs w:val="24"/>
        </w:rPr>
        <w:t>r</w:t>
      </w:r>
      <w:r>
        <w:rPr>
          <w:rFonts w:asciiTheme="majorBidi" w:hAnsiTheme="majorBidi" w:cstheme="majorBidi"/>
          <w:sz w:val="24"/>
          <w:szCs w:val="24"/>
        </w:rPr>
        <w:t>elation entre les deux glandes. Ces r</w:t>
      </w:r>
      <w:r w:rsidRPr="004C19E1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>sultats d</w:t>
      </w:r>
      <w:r w:rsidR="005D23BA">
        <w:rPr>
          <w:rFonts w:asciiTheme="majorBidi" w:hAnsiTheme="majorBidi" w:cstheme="majorBidi"/>
          <w:sz w:val="24"/>
          <w:szCs w:val="24"/>
        </w:rPr>
        <w:t>é</w:t>
      </w:r>
      <w:r>
        <w:rPr>
          <w:rFonts w:asciiTheme="majorBidi" w:hAnsiTheme="majorBidi" w:cstheme="majorBidi"/>
          <w:sz w:val="24"/>
          <w:szCs w:val="24"/>
        </w:rPr>
        <w:t xml:space="preserve">montrent que des facteurs </w:t>
      </w:r>
      <w:r w:rsidR="005B3041">
        <w:rPr>
          <w:rFonts w:asciiTheme="majorBidi" w:hAnsiTheme="majorBidi" w:cstheme="majorBidi"/>
          <w:sz w:val="24"/>
          <w:szCs w:val="24"/>
        </w:rPr>
        <w:t>activateurs de l’axe corticotrope tel</w:t>
      </w:r>
      <w:r>
        <w:rPr>
          <w:rFonts w:asciiTheme="majorBidi" w:hAnsiTheme="majorBidi" w:cstheme="majorBidi"/>
          <w:sz w:val="24"/>
          <w:szCs w:val="24"/>
        </w:rPr>
        <w:t xml:space="preserve"> que le stress sont capables de provoquer des modifications structurales et hormonales au niveau de la thyro</w:t>
      </w:r>
      <w:r w:rsidR="005B3041" w:rsidRPr="004C19E1">
        <w:rPr>
          <w:rFonts w:asciiTheme="majorBidi" w:hAnsiTheme="majorBidi" w:cstheme="majorBidi"/>
        </w:rPr>
        <w:t>ï</w:t>
      </w:r>
      <w:r>
        <w:rPr>
          <w:rFonts w:asciiTheme="majorBidi" w:hAnsiTheme="majorBidi" w:cstheme="majorBidi"/>
          <w:sz w:val="24"/>
          <w:szCs w:val="24"/>
        </w:rPr>
        <w:t>de.</w:t>
      </w:r>
    </w:p>
    <w:p w:rsidR="00625DBE" w:rsidRPr="00A0439E" w:rsidRDefault="00625DBE" w:rsidP="005B3041">
      <w:pPr>
        <w:jc w:val="both"/>
      </w:pPr>
      <w:r w:rsidRPr="00ED17CA">
        <w:rPr>
          <w:rFonts w:asciiTheme="majorBidi" w:hAnsiTheme="majorBidi" w:cstheme="majorBidi"/>
          <w:b/>
          <w:bCs/>
          <w:sz w:val="24"/>
          <w:szCs w:val="24"/>
        </w:rPr>
        <w:t>Mots clés </w:t>
      </w:r>
      <w:r w:rsidRPr="00ED17CA">
        <w:rPr>
          <w:rFonts w:asciiTheme="majorBidi" w:hAnsiTheme="majorBidi" w:cstheme="majorBidi"/>
          <w:sz w:val="24"/>
          <w:szCs w:val="24"/>
        </w:rPr>
        <w:t xml:space="preserve">:  </w:t>
      </w:r>
      <w:r w:rsidR="0025370D">
        <w:rPr>
          <w:rFonts w:asciiTheme="majorBidi" w:hAnsiTheme="majorBidi" w:cstheme="majorBidi"/>
          <w:sz w:val="24"/>
          <w:szCs w:val="24"/>
        </w:rPr>
        <w:t>G</w:t>
      </w:r>
      <w:r w:rsidRPr="00ED17CA">
        <w:rPr>
          <w:rFonts w:asciiTheme="majorBidi" w:hAnsiTheme="majorBidi" w:cstheme="majorBidi"/>
          <w:sz w:val="24"/>
          <w:szCs w:val="24"/>
        </w:rPr>
        <w:t>lucocorti</w:t>
      </w:r>
      <w:r w:rsidR="005B3041">
        <w:rPr>
          <w:rFonts w:asciiTheme="majorBidi" w:hAnsiTheme="majorBidi" w:cstheme="majorBidi"/>
          <w:sz w:val="24"/>
          <w:szCs w:val="24"/>
        </w:rPr>
        <w:t>c</w:t>
      </w:r>
      <w:r w:rsidRPr="00ED17CA">
        <w:rPr>
          <w:rFonts w:asciiTheme="majorBidi" w:hAnsiTheme="majorBidi" w:cstheme="majorBidi"/>
          <w:sz w:val="24"/>
          <w:szCs w:val="24"/>
        </w:rPr>
        <w:t>o</w:t>
      </w:r>
      <w:r w:rsidR="005B3041" w:rsidRPr="004C19E1">
        <w:rPr>
          <w:rFonts w:asciiTheme="majorBidi" w:hAnsiTheme="majorBidi" w:cstheme="majorBidi"/>
        </w:rPr>
        <w:t>ï</w:t>
      </w:r>
      <w:r w:rsidRPr="00ED17CA">
        <w:rPr>
          <w:rFonts w:asciiTheme="majorBidi" w:hAnsiTheme="majorBidi" w:cstheme="majorBidi"/>
          <w:sz w:val="24"/>
          <w:szCs w:val="24"/>
        </w:rPr>
        <w:t>des, thyro</w:t>
      </w:r>
      <w:r w:rsidR="005B3041" w:rsidRPr="004C19E1">
        <w:rPr>
          <w:rFonts w:asciiTheme="majorBidi" w:hAnsiTheme="majorBidi" w:cstheme="majorBidi"/>
        </w:rPr>
        <w:t>ï</w:t>
      </w:r>
      <w:r w:rsidRPr="00ED17CA">
        <w:rPr>
          <w:rFonts w:asciiTheme="majorBidi" w:hAnsiTheme="majorBidi" w:cstheme="majorBidi"/>
          <w:sz w:val="24"/>
          <w:szCs w:val="24"/>
        </w:rPr>
        <w:t>de, hyperthyroidie, hypothyroidie, stress,cortisol.</w:t>
      </w:r>
    </w:p>
    <w:p w:rsidR="00625DBE" w:rsidRPr="00A0439E" w:rsidRDefault="00625DBE" w:rsidP="00625DBE"/>
    <w:p w:rsidR="00625DBE" w:rsidRDefault="00625DBE" w:rsidP="00625DBE"/>
    <w:p w:rsidR="006108E6" w:rsidRDefault="006108E6" w:rsidP="00625DBE"/>
    <w:p w:rsidR="006108E6" w:rsidRDefault="006108E6" w:rsidP="00625DBE"/>
    <w:p w:rsidR="006108E6" w:rsidRDefault="006108E6" w:rsidP="00625DBE"/>
    <w:p w:rsidR="006108E6" w:rsidRDefault="006108E6" w:rsidP="00625DBE"/>
    <w:p w:rsidR="006108E6" w:rsidRPr="000E35F4" w:rsidRDefault="006108E6" w:rsidP="00FF1DF3">
      <w:pPr>
        <w:pBdr>
          <w:bottom w:val="single" w:sz="6" w:space="31" w:color="auto"/>
        </w:pBdr>
        <w:spacing w:after="0" w:line="240" w:lineRule="auto"/>
        <w:jc w:val="both"/>
        <w:rPr>
          <w:rFonts w:asciiTheme="majorBidi" w:eastAsia="Times New Roman" w:hAnsiTheme="majorBidi" w:cstheme="majorBidi"/>
          <w:vanish/>
        </w:rPr>
      </w:pPr>
      <w:r w:rsidRPr="000E35F4">
        <w:rPr>
          <w:rFonts w:asciiTheme="majorBidi" w:eastAsia="Times New Roman" w:hAnsiTheme="majorBidi" w:cstheme="majorBidi"/>
          <w:vanish/>
        </w:rPr>
        <w:t>Haut du formulaire</w:t>
      </w:r>
    </w:p>
    <w:p w:rsidR="00FF1DF3" w:rsidRPr="000E35F4" w:rsidRDefault="00FF1DF3" w:rsidP="00FF1DF3">
      <w:pPr>
        <w:pBdr>
          <w:bottom w:val="single" w:sz="6" w:space="31" w:color="auto"/>
        </w:pBdr>
        <w:spacing w:after="0" w:line="240" w:lineRule="auto"/>
        <w:jc w:val="both"/>
        <w:rPr>
          <w:rFonts w:asciiTheme="majorBidi" w:hAnsiTheme="majorBidi" w:cstheme="majorBidi"/>
        </w:rPr>
      </w:pPr>
    </w:p>
    <w:p w:rsidR="00FF1DF3" w:rsidRPr="000E35F4" w:rsidRDefault="00FF1DF3" w:rsidP="00FF1DF3">
      <w:pPr>
        <w:pBdr>
          <w:bottom w:val="single" w:sz="6" w:space="31" w:color="auto"/>
        </w:pBdr>
        <w:spacing w:after="0" w:line="240" w:lineRule="auto"/>
        <w:jc w:val="both"/>
        <w:rPr>
          <w:rFonts w:asciiTheme="majorBidi" w:hAnsiTheme="majorBidi" w:cstheme="majorBidi"/>
        </w:rPr>
      </w:pPr>
    </w:p>
    <w:p w:rsidR="00FF1DF3" w:rsidRPr="000E35F4" w:rsidRDefault="00FF1DF3" w:rsidP="00FF1DF3">
      <w:pPr>
        <w:pBdr>
          <w:bottom w:val="single" w:sz="6" w:space="31" w:color="auto"/>
        </w:pBdr>
        <w:spacing w:after="0" w:line="240" w:lineRule="auto"/>
        <w:jc w:val="both"/>
        <w:rPr>
          <w:rFonts w:asciiTheme="majorBidi" w:hAnsiTheme="majorBidi" w:cstheme="majorBidi"/>
        </w:rPr>
      </w:pPr>
    </w:p>
    <w:p w:rsidR="00FF1DF3" w:rsidRPr="000E35F4" w:rsidRDefault="00FF1DF3" w:rsidP="00FF1DF3">
      <w:pPr>
        <w:pBdr>
          <w:bottom w:val="single" w:sz="6" w:space="31" w:color="auto"/>
        </w:pBdr>
        <w:spacing w:after="0" w:line="240" w:lineRule="auto"/>
        <w:jc w:val="both"/>
        <w:rPr>
          <w:rFonts w:asciiTheme="majorBidi" w:hAnsiTheme="majorBidi" w:cstheme="majorBidi"/>
        </w:rPr>
      </w:pPr>
    </w:p>
    <w:sectPr w:rsidR="00FF1DF3" w:rsidRPr="000E35F4" w:rsidSect="006E6126">
      <w:type w:val="continuous"/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applyBreakingRules/>
  </w:compat>
  <w:rsids>
    <w:rsidRoot w:val="00625DBE"/>
    <w:rsid w:val="00076508"/>
    <w:rsid w:val="000E20F5"/>
    <w:rsid w:val="000E35F4"/>
    <w:rsid w:val="00156D98"/>
    <w:rsid w:val="001E4861"/>
    <w:rsid w:val="0025370D"/>
    <w:rsid w:val="00263F9A"/>
    <w:rsid w:val="002F5291"/>
    <w:rsid w:val="003048E9"/>
    <w:rsid w:val="004532DB"/>
    <w:rsid w:val="004C43AF"/>
    <w:rsid w:val="004F6DA9"/>
    <w:rsid w:val="00516ADD"/>
    <w:rsid w:val="00542EA1"/>
    <w:rsid w:val="005A092E"/>
    <w:rsid w:val="005B3041"/>
    <w:rsid w:val="005D23BA"/>
    <w:rsid w:val="006108E6"/>
    <w:rsid w:val="00613233"/>
    <w:rsid w:val="00617790"/>
    <w:rsid w:val="00625DBE"/>
    <w:rsid w:val="006443BE"/>
    <w:rsid w:val="00682958"/>
    <w:rsid w:val="006E6126"/>
    <w:rsid w:val="00813376"/>
    <w:rsid w:val="008140CC"/>
    <w:rsid w:val="008905F5"/>
    <w:rsid w:val="008D084E"/>
    <w:rsid w:val="009C7278"/>
    <w:rsid w:val="00A31833"/>
    <w:rsid w:val="00A362AA"/>
    <w:rsid w:val="00A934F3"/>
    <w:rsid w:val="00AF4215"/>
    <w:rsid w:val="00C205E2"/>
    <w:rsid w:val="00CD33E5"/>
    <w:rsid w:val="00E56D22"/>
    <w:rsid w:val="00EF5483"/>
    <w:rsid w:val="00F4270B"/>
    <w:rsid w:val="00FA6441"/>
    <w:rsid w:val="00FF1D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5DBE"/>
    <w:rPr>
      <w:rFonts w:eastAsiaTheme="minorEastAsia"/>
      <w:noProof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6108E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6108E6"/>
    <w:rPr>
      <w:rFonts w:ascii="Arial" w:eastAsia="Times New Roman" w:hAnsi="Arial" w:cs="Arial"/>
      <w:vanish/>
      <w:sz w:val="16"/>
      <w:szCs w:val="16"/>
      <w:lang w:eastAsia="fr-FR"/>
    </w:rPr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6108E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6108E6"/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gt-ft-text1">
    <w:name w:val="gt-ft-text1"/>
    <w:basedOn w:val="Policepardfaut"/>
    <w:rsid w:val="006108E6"/>
  </w:style>
  <w:style w:type="character" w:customStyle="1" w:styleId="goog-submenu-arrow2">
    <w:name w:val="goog-submenu-arrow2"/>
    <w:basedOn w:val="Policepardfaut"/>
    <w:rsid w:val="006108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5DBE"/>
    <w:rPr>
      <w:rFonts w:eastAsiaTheme="minorEastAsia"/>
      <w:noProof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6108E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6108E6"/>
    <w:rPr>
      <w:rFonts w:ascii="Arial" w:eastAsia="Times New Roman" w:hAnsi="Arial" w:cs="Arial"/>
      <w:vanish/>
      <w:sz w:val="16"/>
      <w:szCs w:val="16"/>
      <w:lang w:eastAsia="fr-FR"/>
    </w:rPr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6108E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6108E6"/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gt-ft-text1">
    <w:name w:val="gt-ft-text1"/>
    <w:basedOn w:val="Policepardfaut"/>
    <w:rsid w:val="006108E6"/>
  </w:style>
  <w:style w:type="character" w:customStyle="1" w:styleId="goog-submenu-arrow2">
    <w:name w:val="goog-submenu-arrow2"/>
    <w:basedOn w:val="Policepardfaut"/>
    <w:rsid w:val="006108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44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47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0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13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08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69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023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117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1708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56355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105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43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31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585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015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0326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4110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6390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31139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1259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370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977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288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326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0569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819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021815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1603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779117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185148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078136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191007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185907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10073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8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6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4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79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241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761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943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1255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543787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4010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0219467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164778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65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0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63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295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756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313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2157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F5F5F5"/>
                                <w:left w:val="single" w:sz="6" w:space="0" w:color="F5F5F5"/>
                                <w:bottom w:val="single" w:sz="6" w:space="0" w:color="F5F5F5"/>
                                <w:right w:val="single" w:sz="6" w:space="0" w:color="F5F5F5"/>
                              </w:divBdr>
                              <w:divsChild>
                                <w:div w:id="407075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9069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0825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6311802">
                              <w:marLeft w:val="0"/>
                              <w:marRight w:val="0"/>
                              <w:marTop w:val="24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1509355">
                              <w:marLeft w:val="0"/>
                              <w:marRight w:val="0"/>
                              <w:marTop w:val="4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3968881">
          <w:marLeft w:val="0"/>
          <w:marRight w:val="0"/>
          <w:marTop w:val="1440"/>
          <w:marBottom w:val="0"/>
          <w:divBdr>
            <w:top w:val="single" w:sz="6" w:space="0" w:color="EEEEE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52139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33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937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29615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3285476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72379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66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55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25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53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225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008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58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671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84494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91910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1250402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182539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32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3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876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05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6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9474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4344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1332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44732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42005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8864036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208294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369114">
      <w:marLeft w:val="0"/>
      <w:marRight w:val="0"/>
      <w:marTop w:val="0"/>
      <w:marBottom w:val="0"/>
      <w:divBdr>
        <w:top w:val="single" w:sz="6" w:space="5" w:color="FFFFFF"/>
        <w:left w:val="single" w:sz="6" w:space="7" w:color="FFFFFF"/>
        <w:bottom w:val="single" w:sz="6" w:space="5" w:color="FFFFFF"/>
        <w:right w:val="single" w:sz="6" w:space="7" w:color="FFFFFF"/>
      </w:divBdr>
      <w:divsChild>
        <w:div w:id="201877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3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55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0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73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25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416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129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025159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76080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300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9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98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104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051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844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14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3918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008829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138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989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96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31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73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2565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505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1272987">
                              <w:marLeft w:val="0"/>
                              <w:marRight w:val="0"/>
                              <w:marTop w:val="0"/>
                              <w:marBottom w:val="4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4322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6200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49723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44496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3405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9461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80598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168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8393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1006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2474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4234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999999"/>
                                <w:left w:val="single" w:sz="6" w:space="12" w:color="999999"/>
                                <w:bottom w:val="single" w:sz="6" w:space="12" w:color="999999"/>
                                <w:right w:val="single" w:sz="6" w:space="12" w:color="999999"/>
                              </w:divBdr>
                              <w:divsChild>
                                <w:div w:id="1955282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020030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541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331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0397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17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801139">
                                  <w:marLeft w:val="0"/>
                                  <w:marRight w:val="0"/>
                                  <w:marTop w:val="0"/>
                                  <w:marBottom w:val="42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90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958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98633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8844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63865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9128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133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69305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54768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64387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284337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024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725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3020891">
      <w:marLeft w:val="0"/>
      <w:marRight w:val="0"/>
      <w:marTop w:val="0"/>
      <w:marBottom w:val="0"/>
      <w:divBdr>
        <w:top w:val="single" w:sz="6" w:space="0" w:color="CCCCCC"/>
        <w:left w:val="single" w:sz="6" w:space="0" w:color="CCCCCC"/>
        <w:bottom w:val="single" w:sz="6" w:space="5" w:color="CCCCCC"/>
        <w:right w:val="single" w:sz="6" w:space="0" w:color="CCCCCC"/>
      </w:divBdr>
      <w:divsChild>
        <w:div w:id="65171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5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37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52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43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018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702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42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61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2424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8162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2509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6E8E9-2204-40AC-B155-464927035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331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</dc:creator>
  <cp:lastModifiedBy>sam</cp:lastModifiedBy>
  <cp:revision>2</cp:revision>
  <cp:lastPrinted>2011-10-25T14:36:00Z</cp:lastPrinted>
  <dcterms:created xsi:type="dcterms:W3CDTF">2012-03-10T17:56:00Z</dcterms:created>
  <dcterms:modified xsi:type="dcterms:W3CDTF">2012-03-10T17:56:00Z</dcterms:modified>
</cp:coreProperties>
</file>