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558F" w:rsidRDefault="00AF558F" w:rsidP="00AF558F">
      <w:r>
        <w:t>Ce travail constitue une contribution  à  l'étude des phénomènes de transfert dans un lit fluidisé triphasique appliqué au traitement biologique des eaux contaminées par les hydrocarbures.</w:t>
      </w:r>
    </w:p>
    <w:p w:rsidR="00AF558F" w:rsidRDefault="00AF558F" w:rsidP="00AF558F">
      <w:r>
        <w:t xml:space="preserve">Afin de mieux comprendre les phénomènes hydrodynamiques complexes d'un tel système qu'on appellera bioréacteur où le comportement des différentes phases en présence a une influence très sensible sur un design approprié,  l'étude hydrodynamique est présentée en première partie. En effet, travailler à des conditions favorables et stables de bio-traitement a nécessité une étude hydrodynamique menée sur une installation (DC = 9.4 cm ,  H = 100 cm ) montée au niveau du laboratoire et dont les résultats présentés concernent l'influence des différents paramètres opératoires qui sont les débits d'écoulement des phases liquide et gaz, la nature de la phase liquide, la taille des particules solides, sur les grandeurs hydrodynamiques tels que la vitesse minimale de fluidisation triphasique, l'expansion du lit et sa porosité, la rétention gazeuse et le mélange axial de la phase liquide. Bien que,  depuis la dernière décennie  plusieurs travaux aient été effectués,  il n'en demeure pas moins que certains mécanismes restent incompris et se compliquent avec la présence d'une bioréaction telle qui se déroule dans le cas d'un traitement des eaux usées de raffinerie pour l'élimination des hydrocarbures. </w:t>
      </w:r>
    </w:p>
    <w:p w:rsidR="00AF558F" w:rsidRDefault="00AF558F" w:rsidP="00AF558F">
      <w:r>
        <w:t xml:space="preserve">En deuxième partie,  les résultats expérimentaux sont donnés avec les méthodes de mesure utilisées. Ils  concernent ; les eaux rejetées par la raffinerie d'Alger. La qualité de ces eaux a été analysée pour  la détermination des paramètres de pollution  tels que la température, le pH, la DCO, la DBO5 et le taux d'hydrocarbures. La qualité de ces eaux s'est révélée loin des normes exigées (10 à 20 mg/litre). </w:t>
      </w:r>
    </w:p>
    <w:p w:rsidR="00AF558F" w:rsidRDefault="00AF558F" w:rsidP="00AF558F">
      <w:r>
        <w:t xml:space="preserve">Afin d'étudier et comparer la biodégradation des hydrocarbures nous avons testé deux types de réacteurs, qui sont très souvent assimilés et qui sont le réacteur agité et fluidisé. Pour cela nous présenterons dans cette troisième partie,  l'étude de la biodégradation des hydrocarbures contenus dans une eau synthétique et une eau de raffinerie aussi bien en lit fluidisé triphasique que dans un bioréacteur agité aéré. La comparaison des résultats  de traitement obtenus avec ces deux systèmes a montré que le bioréacteur à lit fluidisé est nettement plus performant. Au bout de 5 jours  la biodégradation des hydrocarbures est totale dans le lit fluidisé alors que dans le bioréacteur agité le taux  d'élimination atteint la valeur de 95% au bout de 9 jours. Cette différence est bien sûr due à la nature du mélange des phases qui influence la croissance et la stabilité du biofilm fixé. </w:t>
      </w:r>
    </w:p>
    <w:p w:rsidR="00AF558F" w:rsidRDefault="00AF558F" w:rsidP="00AF558F">
      <w:r>
        <w:t xml:space="preserve">En dernier, dans la quatrième partie, nous proposons une contribution relative à la modélisation de la biodégradation des hydrocarbures en lit fluidisé triphasique, en tenant compte des phénomènes de transfert de matière et de la biocinétique. Les équations ont été écrites en considérant que les constituants parfaitement mélangés dans la phase liquide sont transportés dans et hors du biofilm par diffusion moléculaire et que la cinétique de croissance suit le modèle d'inhibition de Haldane. La biomasse en suspension, dont une partie est due au détachement du biofilm, est supposée  contribuer à la biodégradation du substrat. </w:t>
      </w:r>
    </w:p>
    <w:p w:rsidR="00C07095" w:rsidRDefault="00C07095"/>
    <w:sectPr w:rsidR="00C07095" w:rsidSect="00C0709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AF558F"/>
    <w:rsid w:val="00AF558F"/>
    <w:rsid w:val="00C0709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709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512</Words>
  <Characters>2817</Characters>
  <Application>Microsoft Office Word</Application>
  <DocSecurity>0</DocSecurity>
  <Lines>23</Lines>
  <Paragraphs>6</Paragraphs>
  <ScaleCrop>false</ScaleCrop>
  <Company/>
  <LinksUpToDate>false</LinksUpToDate>
  <CharactersWithSpaces>3323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2014-12-04T09:45:00Z</dcterms:created>
  <dcterms:modified xsi:type="dcterms:W3CDTF">2014-12-04T09:45:00Z</dcterms:modified>
</cp:coreProperties>
</file>