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4C53" w:rsidRDefault="00934C53" w:rsidP="00EC38C8">
      <w:pPr>
        <w:spacing w:line="276" w:lineRule="auto"/>
      </w:pPr>
    </w:p>
    <w:p w:rsidR="00384118" w:rsidRDefault="00384118" w:rsidP="00D36CF0">
      <w:pPr>
        <w:spacing w:line="276" w:lineRule="auto"/>
        <w:rPr>
          <w:rFonts w:asciiTheme="majorBidi" w:hAnsiTheme="majorBidi" w:cstheme="majorBidi"/>
          <w:b/>
          <w:bCs/>
          <w:sz w:val="24"/>
          <w:szCs w:val="24"/>
          <w:u w:val="single"/>
        </w:rPr>
      </w:pPr>
    </w:p>
    <w:p w:rsidR="00384118" w:rsidRDefault="00384118" w:rsidP="00D36CF0">
      <w:pPr>
        <w:spacing w:line="276" w:lineRule="auto"/>
        <w:rPr>
          <w:rFonts w:asciiTheme="majorBidi" w:hAnsiTheme="majorBidi" w:cstheme="majorBidi"/>
          <w:b/>
          <w:bCs/>
          <w:sz w:val="24"/>
          <w:szCs w:val="24"/>
          <w:u w:val="single"/>
        </w:rPr>
      </w:pPr>
      <w:bookmarkStart w:id="0" w:name="_GoBack"/>
      <w:bookmarkEnd w:id="0"/>
    </w:p>
    <w:p w:rsidR="00384118" w:rsidRDefault="00384118" w:rsidP="00D36CF0">
      <w:pPr>
        <w:spacing w:line="276" w:lineRule="auto"/>
        <w:rPr>
          <w:rFonts w:asciiTheme="majorBidi" w:hAnsiTheme="majorBidi" w:cstheme="majorBidi"/>
          <w:b/>
          <w:bCs/>
          <w:sz w:val="24"/>
          <w:szCs w:val="24"/>
          <w:u w:val="single"/>
        </w:rPr>
      </w:pPr>
    </w:p>
    <w:p w:rsidR="00384118" w:rsidRDefault="00384118" w:rsidP="00D36CF0">
      <w:pPr>
        <w:spacing w:line="276" w:lineRule="auto"/>
        <w:rPr>
          <w:rFonts w:asciiTheme="majorBidi" w:hAnsiTheme="majorBidi" w:cstheme="majorBidi"/>
          <w:b/>
          <w:bCs/>
          <w:sz w:val="24"/>
          <w:szCs w:val="24"/>
          <w:u w:val="single"/>
        </w:rPr>
      </w:pPr>
    </w:p>
    <w:p w:rsidR="00EC38C8" w:rsidRPr="00D36CF0" w:rsidRDefault="007B149A" w:rsidP="00D36CF0">
      <w:pPr>
        <w:spacing w:line="276" w:lineRule="auto"/>
        <w:rPr>
          <w:rFonts w:asciiTheme="majorBidi" w:hAnsiTheme="majorBidi" w:cstheme="majorBidi"/>
          <w:sz w:val="24"/>
          <w:szCs w:val="24"/>
        </w:rPr>
      </w:pPr>
      <w:r w:rsidRPr="00384118">
        <w:rPr>
          <w:rFonts w:asciiTheme="majorBidi" w:hAnsiTheme="majorBidi" w:cstheme="majorBidi"/>
          <w:b/>
          <w:bCs/>
          <w:sz w:val="32"/>
          <w:szCs w:val="32"/>
          <w:u w:val="single"/>
        </w:rPr>
        <w:t>Résumé</w:t>
      </w:r>
      <w:r>
        <w:rPr>
          <w:rFonts w:asciiTheme="majorBidi" w:hAnsiTheme="majorBidi" w:cstheme="majorBidi"/>
          <w:b/>
          <w:bCs/>
          <w:sz w:val="24"/>
          <w:szCs w:val="24"/>
          <w:u w:val="single"/>
        </w:rPr>
        <w:t> </w:t>
      </w:r>
      <w:r>
        <w:rPr>
          <w:rFonts w:asciiTheme="majorBidi" w:hAnsiTheme="majorBidi" w:cstheme="majorBidi"/>
          <w:sz w:val="24"/>
          <w:szCs w:val="24"/>
        </w:rPr>
        <w:t xml:space="preserve">: </w:t>
      </w:r>
    </w:p>
    <w:p w:rsidR="00EC38C8" w:rsidRDefault="00EC38C8" w:rsidP="007B149A">
      <w:pPr>
        <w:spacing w:line="276" w:lineRule="auto"/>
        <w:ind w:firstLine="708"/>
        <w:jc w:val="both"/>
        <w:rPr>
          <w:rFonts w:asciiTheme="majorBidi" w:hAnsiTheme="majorBidi" w:cstheme="majorBidi"/>
          <w:sz w:val="24"/>
          <w:szCs w:val="24"/>
          <w:lang w:eastAsia="fr-FR"/>
        </w:rPr>
      </w:pPr>
      <w:r>
        <w:rPr>
          <w:rFonts w:asciiTheme="majorBidi" w:hAnsiTheme="majorBidi" w:cstheme="majorBidi"/>
          <w:sz w:val="24"/>
          <w:szCs w:val="24"/>
          <w:lang w:eastAsia="fr-FR"/>
        </w:rPr>
        <w:t>Ce</w:t>
      </w:r>
      <w:r w:rsidRPr="00B44E1A">
        <w:rPr>
          <w:rFonts w:asciiTheme="majorBidi" w:hAnsiTheme="majorBidi" w:cstheme="majorBidi"/>
          <w:sz w:val="24"/>
          <w:szCs w:val="24"/>
          <w:lang w:eastAsia="fr-FR"/>
        </w:rPr>
        <w:t xml:space="preserve"> qui est paradoxal dans la littérature, concernant les études empiriques qui utilisent le cadre des processus </w:t>
      </w:r>
      <w:r w:rsidRPr="00B44E1A">
        <w:rPr>
          <w:rFonts w:asciiTheme="majorBidi" w:hAnsiTheme="majorBidi" w:cstheme="majorBidi"/>
          <w:i/>
          <w:sz w:val="24"/>
          <w:szCs w:val="24"/>
          <w:lang w:eastAsia="fr-FR"/>
        </w:rPr>
        <w:t>ARFIMA</w:t>
      </w:r>
      <w:r w:rsidRPr="00B44E1A">
        <w:rPr>
          <w:rFonts w:asciiTheme="majorBidi" w:hAnsiTheme="majorBidi" w:cstheme="majorBidi"/>
          <w:sz w:val="24"/>
          <w:szCs w:val="24"/>
          <w:lang w:eastAsia="fr-FR"/>
        </w:rPr>
        <w:t xml:space="preserve"> comme modélisation, est le manque flagrant d'utilisation de tests statistiques sur le paramètre d'intégration fractionnaire </w:t>
      </w:r>
      <w:r w:rsidRPr="00B44E1A">
        <w:rPr>
          <w:rFonts w:asciiTheme="majorBidi" w:hAnsiTheme="majorBidi" w:cstheme="majorBidi"/>
          <w:i/>
          <w:sz w:val="24"/>
          <w:szCs w:val="24"/>
          <w:lang w:eastAsia="fr-FR"/>
        </w:rPr>
        <w:t>d</w:t>
      </w:r>
      <w:r w:rsidRPr="00B44E1A">
        <w:rPr>
          <w:rFonts w:asciiTheme="majorBidi" w:hAnsiTheme="majorBidi" w:cstheme="majorBidi"/>
          <w:sz w:val="24"/>
          <w:szCs w:val="24"/>
          <w:lang w:eastAsia="fr-FR"/>
        </w:rPr>
        <w:t xml:space="preserve">. Presque toutes les études empiriques se contentent d'estimer </w:t>
      </w:r>
      <m:oMath>
        <m:r>
          <w:rPr>
            <w:rFonts w:ascii="Cambria Math" w:hAnsi="Cambria Math" w:cstheme="majorBidi"/>
            <w:sz w:val="24"/>
            <w:szCs w:val="24"/>
            <w:lang w:eastAsia="fr-FR"/>
          </w:rPr>
          <m:t>d</m:t>
        </m:r>
      </m:oMath>
      <w:r>
        <w:rPr>
          <w:rFonts w:asciiTheme="majorBidi" w:eastAsiaTheme="minorEastAsia" w:hAnsiTheme="majorBidi" w:cstheme="majorBidi"/>
          <w:sz w:val="24"/>
          <w:szCs w:val="24"/>
          <w:lang w:eastAsia="fr-FR"/>
        </w:rPr>
        <w:t>,</w:t>
      </w:r>
      <w:r w:rsidRPr="00B44E1A">
        <w:rPr>
          <w:rFonts w:asciiTheme="majorBidi" w:hAnsiTheme="majorBidi" w:cstheme="majorBidi"/>
          <w:sz w:val="24"/>
          <w:szCs w:val="24"/>
          <w:lang w:eastAsia="fr-FR"/>
        </w:rPr>
        <w:t xml:space="preserve"> p</w:t>
      </w:r>
      <w:r>
        <w:rPr>
          <w:rFonts w:asciiTheme="majorBidi" w:hAnsiTheme="majorBidi" w:cstheme="majorBidi"/>
          <w:sz w:val="24"/>
          <w:szCs w:val="24"/>
          <w:lang w:eastAsia="fr-FR"/>
        </w:rPr>
        <w:t>ar l'une des méthodes existantes, sans prendre soin</w:t>
      </w:r>
      <w:r w:rsidRPr="00B44E1A">
        <w:rPr>
          <w:rFonts w:asciiTheme="majorBidi" w:hAnsiTheme="majorBidi" w:cstheme="majorBidi"/>
          <w:sz w:val="24"/>
          <w:szCs w:val="24"/>
          <w:lang w:eastAsia="fr-FR"/>
        </w:rPr>
        <w:t xml:space="preserve"> de vérifier si la valeur estimée</w:t>
      </w:r>
      <w:r>
        <w:rPr>
          <w:rFonts w:asciiTheme="majorBidi" w:hAnsiTheme="majorBidi" w:cstheme="majorBidi"/>
          <w:sz w:val="24"/>
          <w:szCs w:val="24"/>
          <w:lang w:eastAsia="fr-FR"/>
        </w:rPr>
        <w:t xml:space="preserve">, de </w:t>
      </w:r>
      <w:r w:rsidRPr="00B44E1A">
        <w:rPr>
          <w:rFonts w:asciiTheme="majorBidi" w:hAnsiTheme="majorBidi" w:cstheme="majorBidi"/>
          <w:sz w:val="24"/>
          <w:szCs w:val="24"/>
          <w:lang w:eastAsia="fr-FR"/>
        </w:rPr>
        <w:t xml:space="preserve"> </w:t>
      </w:r>
      <w:r w:rsidRPr="00B44E1A">
        <w:rPr>
          <w:rFonts w:asciiTheme="majorBidi" w:hAnsiTheme="majorBidi" w:cstheme="majorBidi"/>
          <w:i/>
          <w:sz w:val="24"/>
          <w:szCs w:val="24"/>
          <w:lang w:eastAsia="fr-FR"/>
        </w:rPr>
        <w:t>d</w:t>
      </w:r>
      <w:r>
        <w:rPr>
          <w:rFonts w:asciiTheme="majorBidi" w:hAnsiTheme="majorBidi" w:cstheme="majorBidi"/>
          <w:i/>
          <w:sz w:val="24"/>
          <w:szCs w:val="24"/>
          <w:lang w:eastAsia="fr-FR"/>
        </w:rPr>
        <w:t>,</w:t>
      </w:r>
      <w:r w:rsidRPr="00B44E1A">
        <w:rPr>
          <w:rFonts w:asciiTheme="majorBidi" w:hAnsiTheme="majorBidi" w:cstheme="majorBidi"/>
          <w:sz w:val="24"/>
          <w:szCs w:val="24"/>
          <w:lang w:eastAsia="fr-FR"/>
        </w:rPr>
        <w:t xml:space="preserve"> est significativement différente d'une certaine valeur </w:t>
      </w:r>
      <m:oMath>
        <m:r>
          <w:rPr>
            <w:rFonts w:ascii="Cambria Math" w:hAnsi="Cambria Math" w:cstheme="majorBidi"/>
            <w:sz w:val="24"/>
            <w:szCs w:val="24"/>
            <w:lang w:eastAsia="fr-FR"/>
          </w:rPr>
          <m:t>d₀</m:t>
        </m:r>
      </m:oMath>
      <w:r w:rsidRPr="00B44E1A">
        <w:rPr>
          <w:rFonts w:asciiTheme="majorBidi" w:hAnsiTheme="majorBidi" w:cstheme="majorBidi"/>
          <w:sz w:val="24"/>
          <w:szCs w:val="24"/>
          <w:lang w:eastAsia="fr-FR"/>
        </w:rPr>
        <w:t xml:space="preserve">. </w:t>
      </w:r>
      <w:r>
        <w:rPr>
          <w:rFonts w:asciiTheme="majorBidi" w:hAnsiTheme="majorBidi" w:cstheme="majorBidi"/>
          <w:sz w:val="24"/>
          <w:szCs w:val="24"/>
          <w:lang w:eastAsia="fr-FR"/>
        </w:rPr>
        <w:t>Par exemple, s</w:t>
      </w:r>
      <w:r w:rsidRPr="00B44E1A">
        <w:rPr>
          <w:rFonts w:asciiTheme="majorBidi" w:hAnsiTheme="majorBidi" w:cstheme="majorBidi"/>
          <w:sz w:val="24"/>
          <w:szCs w:val="24"/>
          <w:lang w:eastAsia="fr-FR"/>
        </w:rPr>
        <w:t>i des investigations, sont menées pour déter</w:t>
      </w:r>
      <w:r>
        <w:rPr>
          <w:rFonts w:asciiTheme="majorBidi" w:hAnsiTheme="majorBidi" w:cstheme="majorBidi"/>
          <w:sz w:val="24"/>
          <w:szCs w:val="24"/>
          <w:lang w:eastAsia="fr-FR"/>
        </w:rPr>
        <w:t>miner si la série chronologique</w:t>
      </w:r>
      <w:r w:rsidRPr="00B44E1A">
        <w:rPr>
          <w:rFonts w:asciiTheme="majorBidi" w:hAnsiTheme="majorBidi" w:cstheme="majorBidi"/>
          <w:sz w:val="24"/>
          <w:szCs w:val="24"/>
          <w:lang w:eastAsia="fr-FR"/>
        </w:rPr>
        <w:t xml:space="preserve">, sous étude, est non stationnaire (ou stationnaire), le bon sens voudrait que l'on test, par exemple, sans restreindre la généralité, l'hypothèse </w:t>
      </w:r>
      <m:oMath>
        <m:r>
          <w:rPr>
            <w:rFonts w:ascii="Cambria Math" w:hAnsi="Cambria Math" w:cstheme="majorBidi"/>
            <w:sz w:val="24"/>
            <w:szCs w:val="24"/>
            <w:lang w:eastAsia="fr-FR"/>
          </w:rPr>
          <m:t>d≥0.5</m:t>
        </m:r>
      </m:oMath>
      <w:r w:rsidRPr="00B44E1A">
        <w:rPr>
          <w:rFonts w:asciiTheme="majorBidi" w:hAnsiTheme="majorBidi" w:cstheme="majorBidi"/>
          <w:sz w:val="24"/>
          <w:szCs w:val="24"/>
          <w:lang w:eastAsia="fr-FR"/>
        </w:rPr>
        <w:t xml:space="preserve"> (ou </w:t>
      </w:r>
      <m:oMath>
        <m:r>
          <w:rPr>
            <w:rFonts w:ascii="Cambria Math" w:hAnsi="Cambria Math" w:cstheme="majorBidi"/>
            <w:sz w:val="24"/>
            <w:szCs w:val="24"/>
            <w:lang w:eastAsia="fr-FR"/>
          </w:rPr>
          <m:t>d&lt;0.5</m:t>
        </m:r>
      </m:oMath>
      <w:r>
        <w:rPr>
          <w:rFonts w:asciiTheme="majorBidi" w:hAnsiTheme="majorBidi" w:cstheme="majorBidi"/>
          <w:sz w:val="24"/>
          <w:szCs w:val="24"/>
          <w:lang w:eastAsia="fr-FR"/>
        </w:rPr>
        <w:t>). Hors ce type d'hypothèse</w:t>
      </w:r>
      <w:r w:rsidRPr="00B44E1A">
        <w:rPr>
          <w:rFonts w:asciiTheme="majorBidi" w:hAnsiTheme="majorBidi" w:cstheme="majorBidi"/>
          <w:sz w:val="24"/>
          <w:szCs w:val="24"/>
          <w:lang w:eastAsia="fr-FR"/>
        </w:rPr>
        <w:t xml:space="preserve"> de tests n'est pas une pratique courante dans les travaux empiriques.</w:t>
      </w:r>
      <w:r>
        <w:rPr>
          <w:rFonts w:asciiTheme="majorBidi" w:hAnsiTheme="majorBidi" w:cstheme="majorBidi"/>
          <w:sz w:val="24"/>
          <w:szCs w:val="24"/>
          <w:lang w:eastAsia="fr-FR"/>
        </w:rPr>
        <w:t xml:space="preserve"> </w:t>
      </w:r>
      <w:r w:rsidRPr="00034CBF">
        <w:rPr>
          <w:rFonts w:asciiTheme="majorBidi" w:hAnsiTheme="majorBidi" w:cstheme="majorBidi"/>
          <w:sz w:val="24"/>
          <w:szCs w:val="24"/>
          <w:lang w:eastAsia="fr-FR"/>
        </w:rPr>
        <w:t xml:space="preserve">Depuis leur introduction, par </w:t>
      </w:r>
      <w:proofErr w:type="spellStart"/>
      <w:r w:rsidRPr="00034CBF">
        <w:rPr>
          <w:rFonts w:asciiTheme="majorBidi" w:hAnsiTheme="majorBidi" w:cstheme="majorBidi"/>
          <w:sz w:val="24"/>
          <w:szCs w:val="24"/>
          <w:lang w:eastAsia="fr-FR"/>
        </w:rPr>
        <w:t>Dickey</w:t>
      </w:r>
      <w:proofErr w:type="spellEnd"/>
      <w:r w:rsidRPr="00034CBF">
        <w:rPr>
          <w:rFonts w:asciiTheme="majorBidi" w:hAnsiTheme="majorBidi" w:cstheme="majorBidi"/>
          <w:sz w:val="24"/>
          <w:szCs w:val="24"/>
          <w:lang w:eastAsia="fr-FR"/>
        </w:rPr>
        <w:t xml:space="preserve"> et Fuller (1976,1979), les tests de non-stationnarité (ou tests de racines unitaires) sont les tests les plus utilisés dans l'analyse des séries chronologiques. Pour le cas où </w:t>
      </w:r>
      <m:oMath>
        <m:r>
          <w:rPr>
            <w:rFonts w:ascii="Cambria Math" w:hAnsi="Cambria Math" w:cstheme="majorBidi"/>
            <w:color w:val="000000" w:themeColor="text1"/>
            <w:sz w:val="24"/>
            <w:szCs w:val="24"/>
            <w:lang w:eastAsia="fr-FR"/>
          </w:rPr>
          <m:t>Ω(d)=</m:t>
        </m:r>
        <m:d>
          <m:dPr>
            <m:begChr m:val="["/>
            <m:endChr m:val="]"/>
            <m:ctrlPr>
              <w:rPr>
                <w:rFonts w:ascii="Cambria Math" w:hAnsi="Cambria Math" w:cstheme="majorBidi"/>
                <w:i/>
                <w:color w:val="000000" w:themeColor="text1"/>
                <w:sz w:val="24"/>
                <w:szCs w:val="24"/>
                <w:lang w:eastAsia="fr-FR"/>
              </w:rPr>
            </m:ctrlPr>
          </m:dPr>
          <m:e>
            <m:r>
              <w:rPr>
                <w:rFonts w:ascii="Cambria Math" w:hAnsi="Cambria Math" w:cstheme="majorBidi"/>
                <w:color w:val="000000" w:themeColor="text1"/>
                <w:sz w:val="24"/>
                <w:szCs w:val="24"/>
                <w:lang w:eastAsia="fr-FR"/>
              </w:rPr>
              <m:t>0,1</m:t>
            </m:r>
          </m:e>
        </m:d>
      </m:oMath>
      <w:r w:rsidRPr="00034CBF">
        <w:rPr>
          <w:rFonts w:asciiTheme="majorBidi" w:hAnsiTheme="majorBidi" w:cstheme="majorBidi"/>
          <w:color w:val="000000" w:themeColor="text1"/>
          <w:sz w:val="24"/>
          <w:szCs w:val="24"/>
          <w:lang w:eastAsia="fr-FR"/>
        </w:rPr>
        <w:t xml:space="preserve">, </w:t>
      </w:r>
      <w:r w:rsidRPr="00034CBF">
        <w:rPr>
          <w:rFonts w:asciiTheme="majorBidi" w:hAnsiTheme="majorBidi" w:cstheme="majorBidi"/>
          <w:sz w:val="24"/>
          <w:szCs w:val="24"/>
          <w:lang w:eastAsia="fr-FR"/>
        </w:rPr>
        <w:t xml:space="preserve">l'utilisation des tests de racines unitaires est restreinte seulement au cas </w:t>
      </w:r>
      <w:r w:rsidRPr="00034CBF">
        <w:rPr>
          <w:rFonts w:asciiTheme="majorBidi" w:hAnsiTheme="majorBidi" w:cstheme="majorBidi"/>
          <w:color w:val="000000" w:themeColor="text1"/>
          <w:sz w:val="24"/>
          <w:szCs w:val="24"/>
          <w:lang w:eastAsia="fr-FR"/>
        </w:rPr>
        <w:t>(</w:t>
      </w:r>
      <m:oMath>
        <m:r>
          <w:rPr>
            <w:rFonts w:ascii="Cambria Math" w:hAnsi="Cambria Math" w:cstheme="majorBidi"/>
            <w:color w:val="000000" w:themeColor="text1"/>
            <w:sz w:val="24"/>
            <w:szCs w:val="24"/>
            <w:lang w:eastAsia="fr-FR"/>
          </w:rPr>
          <m:t>H₀:d=1 contre H₁:d=0</m:t>
        </m:r>
      </m:oMath>
      <w:r w:rsidRPr="00034CBF">
        <w:rPr>
          <w:rFonts w:asciiTheme="majorBidi" w:hAnsiTheme="majorBidi" w:cstheme="majorBidi"/>
          <w:color w:val="000000" w:themeColor="text1"/>
          <w:sz w:val="24"/>
          <w:szCs w:val="24"/>
          <w:lang w:eastAsia="fr-FR"/>
        </w:rPr>
        <w:t>)</w:t>
      </w:r>
      <w:r w:rsidRPr="00034CBF">
        <w:rPr>
          <w:rFonts w:asciiTheme="majorBidi" w:hAnsiTheme="majorBidi" w:cstheme="majorBidi"/>
          <w:sz w:val="24"/>
          <w:szCs w:val="24"/>
          <w:lang w:eastAsia="fr-FR"/>
        </w:rPr>
        <w:t xml:space="preserve">. Par conséquent, ces tests ne tiennent pas compte d'une éventuelle valeur fractionnaire du paramètre </w:t>
      </w:r>
      <m:oMath>
        <m:r>
          <w:rPr>
            <w:rFonts w:ascii="Cambria Math" w:hAnsi="Cambria Math" w:cstheme="majorBidi"/>
            <w:sz w:val="24"/>
            <w:szCs w:val="24"/>
            <w:lang w:eastAsia="fr-FR"/>
          </w:rPr>
          <m:t>d</m:t>
        </m:r>
      </m:oMath>
      <w:r w:rsidRPr="00034CBF">
        <w:rPr>
          <w:rFonts w:asciiTheme="majorBidi" w:hAnsiTheme="majorBidi" w:cstheme="majorBidi"/>
          <w:sz w:val="24"/>
          <w:szCs w:val="24"/>
          <w:lang w:eastAsia="fr-FR"/>
        </w:rPr>
        <w:t xml:space="preserve">. Dans la littérature, on trouve plusieurs tentatives de généralisation du test de </w:t>
      </w:r>
      <w:proofErr w:type="spellStart"/>
      <w:r w:rsidRPr="00034CBF">
        <w:rPr>
          <w:rFonts w:asciiTheme="majorBidi" w:hAnsiTheme="majorBidi" w:cstheme="majorBidi"/>
          <w:sz w:val="24"/>
          <w:szCs w:val="24"/>
          <w:lang w:eastAsia="fr-FR"/>
        </w:rPr>
        <w:t>Dickey</w:t>
      </w:r>
      <w:proofErr w:type="spellEnd"/>
      <w:r w:rsidRPr="00034CBF">
        <w:rPr>
          <w:rFonts w:asciiTheme="majorBidi" w:hAnsiTheme="majorBidi" w:cstheme="majorBidi"/>
          <w:sz w:val="24"/>
          <w:szCs w:val="24"/>
          <w:lang w:eastAsia="fr-FR"/>
        </w:rPr>
        <w:t xml:space="preserve"> et Fuller au </w:t>
      </w:r>
      <w:r>
        <w:rPr>
          <w:rFonts w:asciiTheme="majorBidi" w:hAnsiTheme="majorBidi" w:cstheme="majorBidi"/>
          <w:sz w:val="24"/>
          <w:szCs w:val="24"/>
          <w:lang w:eastAsia="fr-FR"/>
        </w:rPr>
        <w:t xml:space="preserve">cas </w:t>
      </w:r>
      <w:r w:rsidRPr="00034CBF">
        <w:rPr>
          <w:rFonts w:asciiTheme="majorBidi" w:hAnsiTheme="majorBidi" w:cstheme="majorBidi"/>
          <w:sz w:val="24"/>
          <w:szCs w:val="24"/>
          <w:lang w:eastAsia="fr-FR"/>
        </w:rPr>
        <w:t xml:space="preserve">fractionnaire. Parmi celles-ci, on trouve celle de </w:t>
      </w:r>
      <w:proofErr w:type="spellStart"/>
      <w:r w:rsidRPr="00034CBF">
        <w:rPr>
          <w:rFonts w:asciiTheme="majorBidi" w:hAnsiTheme="majorBidi" w:cstheme="majorBidi"/>
          <w:sz w:val="24"/>
          <w:szCs w:val="24"/>
          <w:lang w:eastAsia="fr-FR"/>
        </w:rPr>
        <w:t>Dolado</w:t>
      </w:r>
      <w:proofErr w:type="spellEnd"/>
      <w:r w:rsidRPr="00034CBF">
        <w:rPr>
          <w:rFonts w:asciiTheme="majorBidi" w:hAnsiTheme="majorBidi" w:cstheme="majorBidi"/>
          <w:sz w:val="24"/>
          <w:szCs w:val="24"/>
          <w:lang w:eastAsia="fr-FR"/>
        </w:rPr>
        <w:t xml:space="preserve">, Gonzalo et Mayoral (2002), et celles de </w:t>
      </w:r>
      <w:proofErr w:type="spellStart"/>
      <w:r w:rsidRPr="00034CBF">
        <w:rPr>
          <w:rFonts w:asciiTheme="majorBidi" w:hAnsiTheme="majorBidi" w:cstheme="majorBidi"/>
          <w:sz w:val="24"/>
          <w:szCs w:val="24"/>
          <w:lang w:eastAsia="fr-FR"/>
        </w:rPr>
        <w:t>Lobato</w:t>
      </w:r>
      <w:proofErr w:type="spellEnd"/>
      <w:r w:rsidRPr="00034CBF">
        <w:rPr>
          <w:rFonts w:asciiTheme="majorBidi" w:hAnsiTheme="majorBidi" w:cstheme="majorBidi"/>
          <w:sz w:val="24"/>
          <w:szCs w:val="24"/>
          <w:lang w:eastAsia="fr-FR"/>
        </w:rPr>
        <w:t xml:space="preserve"> et </w:t>
      </w:r>
      <w:proofErr w:type="spellStart"/>
      <w:r w:rsidRPr="00034CBF">
        <w:rPr>
          <w:rFonts w:asciiTheme="majorBidi" w:hAnsiTheme="majorBidi" w:cstheme="majorBidi"/>
          <w:sz w:val="24"/>
          <w:szCs w:val="24"/>
          <w:lang w:eastAsia="fr-FR"/>
        </w:rPr>
        <w:t>Velasco</w:t>
      </w:r>
      <w:proofErr w:type="spellEnd"/>
      <w:r w:rsidRPr="00034CBF">
        <w:rPr>
          <w:rFonts w:asciiTheme="majorBidi" w:hAnsiTheme="majorBidi" w:cstheme="majorBidi"/>
          <w:sz w:val="24"/>
          <w:szCs w:val="24"/>
          <w:lang w:eastAsia="fr-FR"/>
        </w:rPr>
        <w:t xml:space="preserve"> (2006 ,2007).</w:t>
      </w:r>
      <w:r>
        <w:rPr>
          <w:rFonts w:asciiTheme="majorBidi" w:hAnsiTheme="majorBidi" w:cstheme="majorBidi"/>
          <w:sz w:val="24"/>
          <w:szCs w:val="24"/>
          <w:lang w:eastAsia="fr-FR"/>
        </w:rPr>
        <w:t xml:space="preserve"> T</w:t>
      </w:r>
      <w:r w:rsidRPr="001334FB">
        <w:rPr>
          <w:rFonts w:asciiTheme="majorBidi" w:hAnsiTheme="majorBidi" w:cstheme="majorBidi"/>
          <w:sz w:val="24"/>
          <w:szCs w:val="24"/>
          <w:lang w:eastAsia="fr-FR"/>
        </w:rPr>
        <w:t>outes ces généralisations sont basées sur une mauvaise interprétation des conditions de constr</w:t>
      </w:r>
      <w:r w:rsidR="00D36CF0">
        <w:rPr>
          <w:rFonts w:asciiTheme="majorBidi" w:hAnsiTheme="majorBidi" w:cstheme="majorBidi"/>
          <w:sz w:val="24"/>
          <w:szCs w:val="24"/>
          <w:lang w:eastAsia="fr-FR"/>
        </w:rPr>
        <w:t xml:space="preserve">uction du test de </w:t>
      </w:r>
      <w:proofErr w:type="spellStart"/>
      <w:r w:rsidR="00D36CF0">
        <w:rPr>
          <w:rFonts w:asciiTheme="majorBidi" w:hAnsiTheme="majorBidi" w:cstheme="majorBidi"/>
          <w:sz w:val="24"/>
          <w:szCs w:val="24"/>
          <w:lang w:eastAsia="fr-FR"/>
        </w:rPr>
        <w:t>Dickey</w:t>
      </w:r>
      <w:proofErr w:type="spellEnd"/>
      <w:r w:rsidR="00D36CF0">
        <w:rPr>
          <w:rFonts w:asciiTheme="majorBidi" w:hAnsiTheme="majorBidi" w:cstheme="majorBidi"/>
          <w:sz w:val="24"/>
          <w:szCs w:val="24"/>
          <w:lang w:eastAsia="fr-FR"/>
        </w:rPr>
        <w:t>-Fuller.</w:t>
      </w:r>
    </w:p>
    <w:p w:rsidR="00D36CF0" w:rsidRDefault="00EC38C8" w:rsidP="00090CEE">
      <w:pPr>
        <w:spacing w:line="276" w:lineRule="auto"/>
        <w:ind w:firstLine="708"/>
        <w:jc w:val="both"/>
        <w:rPr>
          <w:rFonts w:asciiTheme="majorBidi" w:hAnsiTheme="majorBidi" w:cstheme="majorBidi"/>
          <w:sz w:val="24"/>
          <w:szCs w:val="24"/>
          <w:lang w:eastAsia="fr-FR"/>
        </w:rPr>
      </w:pPr>
      <w:r>
        <w:rPr>
          <w:rFonts w:asciiTheme="majorBidi" w:hAnsiTheme="majorBidi" w:cstheme="majorBidi"/>
          <w:sz w:val="24"/>
          <w:szCs w:val="24"/>
          <w:lang w:eastAsia="fr-FR"/>
        </w:rPr>
        <w:t>L’objectif principal, de cette thèse</w:t>
      </w:r>
      <w:r w:rsidR="00090CEE">
        <w:rPr>
          <w:rFonts w:asciiTheme="majorBidi" w:hAnsiTheme="majorBidi" w:cstheme="majorBidi"/>
          <w:sz w:val="24"/>
          <w:szCs w:val="24"/>
          <w:lang w:eastAsia="fr-FR"/>
        </w:rPr>
        <w:t>,</w:t>
      </w:r>
      <w:r>
        <w:rPr>
          <w:rFonts w:asciiTheme="majorBidi" w:hAnsiTheme="majorBidi" w:cstheme="majorBidi"/>
          <w:sz w:val="24"/>
          <w:szCs w:val="24"/>
          <w:lang w:eastAsia="fr-FR"/>
        </w:rPr>
        <w:t xml:space="preserve"> est de proposer une généralisation du test de </w:t>
      </w:r>
      <w:proofErr w:type="spellStart"/>
      <w:r>
        <w:rPr>
          <w:rFonts w:asciiTheme="majorBidi" w:hAnsiTheme="majorBidi" w:cstheme="majorBidi"/>
          <w:sz w:val="24"/>
          <w:szCs w:val="24"/>
          <w:lang w:eastAsia="fr-FR"/>
        </w:rPr>
        <w:t>Dickey</w:t>
      </w:r>
      <w:proofErr w:type="spellEnd"/>
      <w:r>
        <w:rPr>
          <w:rFonts w:asciiTheme="majorBidi" w:hAnsiTheme="majorBidi" w:cstheme="majorBidi"/>
          <w:sz w:val="24"/>
          <w:szCs w:val="24"/>
          <w:lang w:eastAsia="fr-FR"/>
        </w:rPr>
        <w:t xml:space="preserve">-Fuller au cas fractionnaire. La procédure de test que nous proposons, va non seulement nous permettre d’appréhender le cas de </w:t>
      </w:r>
      <m:oMath>
        <m:sSub>
          <m:sSubPr>
            <m:ctrlPr>
              <w:rPr>
                <w:rFonts w:ascii="Cambria Math" w:hAnsi="Cambria Math" w:cstheme="majorBidi"/>
                <w:i/>
                <w:color w:val="000000" w:themeColor="text1"/>
                <w:sz w:val="24"/>
                <w:szCs w:val="24"/>
                <w:lang w:eastAsia="fr-FR"/>
              </w:rPr>
            </m:ctrlPr>
          </m:sSubPr>
          <m:e>
            <m:r>
              <w:rPr>
                <w:rFonts w:ascii="Cambria Math" w:hAnsi="Cambria Math" w:cstheme="majorBidi"/>
                <w:color w:val="000000" w:themeColor="text1"/>
                <w:sz w:val="24"/>
                <w:szCs w:val="24"/>
                <w:lang w:eastAsia="fr-FR"/>
              </w:rPr>
              <m:t>H</m:t>
            </m:r>
          </m:e>
          <m:sub>
            <m:r>
              <w:rPr>
                <w:rFonts w:ascii="Cambria Math" w:hAnsi="Cambria Math" w:cstheme="majorBidi"/>
                <w:color w:val="000000" w:themeColor="text1"/>
                <w:sz w:val="24"/>
                <w:szCs w:val="24"/>
                <w:lang w:eastAsia="fr-FR"/>
              </w:rPr>
              <m:t>0</m:t>
            </m:r>
          </m:sub>
        </m:sSub>
        <m:r>
          <w:rPr>
            <w:rFonts w:ascii="Cambria Math" w:hAnsi="Cambria Math" w:cstheme="majorBidi"/>
            <w:color w:val="000000" w:themeColor="text1"/>
            <w:sz w:val="24"/>
            <w:szCs w:val="24"/>
            <w:lang w:eastAsia="fr-FR"/>
          </w:rPr>
          <m:t>:d≥0.5</m:t>
        </m:r>
      </m:oMath>
      <w:r>
        <w:rPr>
          <w:rFonts w:asciiTheme="majorBidi" w:eastAsiaTheme="minorEastAsia" w:hAnsiTheme="majorBidi" w:cstheme="majorBidi"/>
          <w:color w:val="000000" w:themeColor="text1"/>
          <w:sz w:val="24"/>
          <w:szCs w:val="24"/>
          <w:lang w:eastAsia="fr-FR"/>
        </w:rPr>
        <w:t xml:space="preserve">, mais aussi le cas </w:t>
      </w:r>
      <m:oMath>
        <m:sSub>
          <m:sSubPr>
            <m:ctrlPr>
              <w:rPr>
                <w:rFonts w:ascii="Cambria Math" w:hAnsi="Cambria Math" w:cstheme="majorBidi"/>
                <w:i/>
                <w:color w:val="000000" w:themeColor="text1"/>
                <w:sz w:val="24"/>
                <w:szCs w:val="24"/>
                <w:lang w:eastAsia="fr-FR"/>
              </w:rPr>
            </m:ctrlPr>
          </m:sSubPr>
          <m:e>
            <m:r>
              <w:rPr>
                <w:rFonts w:ascii="Cambria Math" w:hAnsi="Cambria Math" w:cstheme="majorBidi"/>
                <w:color w:val="000000" w:themeColor="text1"/>
                <w:sz w:val="24"/>
                <w:szCs w:val="24"/>
                <w:lang w:eastAsia="fr-FR"/>
              </w:rPr>
              <m:t>H</m:t>
            </m:r>
          </m:e>
          <m:sub>
            <m:r>
              <w:rPr>
                <w:rFonts w:ascii="Cambria Math" w:hAnsi="Cambria Math" w:cstheme="majorBidi"/>
                <w:color w:val="000000" w:themeColor="text1"/>
                <w:sz w:val="24"/>
                <w:szCs w:val="24"/>
                <w:lang w:eastAsia="fr-FR"/>
              </w:rPr>
              <m:t>0</m:t>
            </m:r>
          </m:sub>
        </m:sSub>
        <m:r>
          <w:rPr>
            <w:rFonts w:ascii="Cambria Math" w:hAnsi="Cambria Math" w:cstheme="majorBidi"/>
            <w:color w:val="000000" w:themeColor="text1"/>
            <w:sz w:val="24"/>
            <w:szCs w:val="24"/>
            <w:lang w:eastAsia="fr-FR"/>
          </w:rPr>
          <m:t>:d≥</m:t>
        </m:r>
        <m:sSub>
          <m:sSubPr>
            <m:ctrlPr>
              <w:rPr>
                <w:rFonts w:ascii="Cambria Math" w:hAnsi="Cambria Math" w:cstheme="majorBidi"/>
                <w:i/>
                <w:color w:val="000000" w:themeColor="text1"/>
                <w:sz w:val="24"/>
                <w:szCs w:val="24"/>
                <w:lang w:eastAsia="fr-FR"/>
              </w:rPr>
            </m:ctrlPr>
          </m:sSubPr>
          <m:e>
            <m:r>
              <w:rPr>
                <w:rFonts w:ascii="Cambria Math" w:hAnsi="Cambria Math" w:cstheme="majorBidi"/>
                <w:color w:val="000000" w:themeColor="text1"/>
                <w:sz w:val="24"/>
                <w:szCs w:val="24"/>
                <w:lang w:eastAsia="fr-FR"/>
              </w:rPr>
              <m:t>d</m:t>
            </m:r>
          </m:e>
          <m:sub>
            <m:r>
              <w:rPr>
                <w:rFonts w:ascii="Cambria Math" w:hAnsi="Cambria Math" w:cstheme="majorBidi"/>
                <w:color w:val="000000" w:themeColor="text1"/>
                <w:sz w:val="24"/>
                <w:szCs w:val="24"/>
                <w:lang w:eastAsia="fr-FR"/>
              </w:rPr>
              <m:t>0</m:t>
            </m:r>
          </m:sub>
        </m:sSub>
      </m:oMath>
      <w:r>
        <w:rPr>
          <w:rFonts w:asciiTheme="majorBidi" w:eastAsiaTheme="minorEastAsia" w:hAnsiTheme="majorBidi" w:cstheme="majorBidi"/>
          <w:color w:val="000000" w:themeColor="text1"/>
          <w:sz w:val="24"/>
          <w:szCs w:val="24"/>
          <w:lang w:eastAsia="fr-FR"/>
        </w:rPr>
        <w:t xml:space="preserve">, avec </w:t>
      </w:r>
      <m:oMath>
        <m:sSub>
          <m:sSubPr>
            <m:ctrlPr>
              <w:rPr>
                <w:rFonts w:ascii="Cambria Math" w:eastAsiaTheme="minorEastAsia" w:hAnsi="Cambria Math" w:cstheme="majorBidi"/>
                <w:i/>
                <w:color w:val="000000" w:themeColor="text1"/>
                <w:sz w:val="24"/>
                <w:szCs w:val="24"/>
                <w:lang w:eastAsia="fr-FR"/>
              </w:rPr>
            </m:ctrlPr>
          </m:sSubPr>
          <m:e>
            <m:r>
              <w:rPr>
                <w:rFonts w:ascii="Cambria Math" w:eastAsiaTheme="minorEastAsia" w:hAnsi="Cambria Math" w:cstheme="majorBidi"/>
                <w:color w:val="000000" w:themeColor="text1"/>
                <w:sz w:val="24"/>
                <w:szCs w:val="24"/>
                <w:lang w:eastAsia="fr-FR"/>
              </w:rPr>
              <m:t>d</m:t>
            </m:r>
          </m:e>
          <m:sub>
            <m:r>
              <w:rPr>
                <w:rFonts w:ascii="Cambria Math" w:eastAsiaTheme="minorEastAsia" w:hAnsi="Cambria Math" w:cstheme="majorBidi"/>
                <w:color w:val="000000" w:themeColor="text1"/>
                <w:sz w:val="24"/>
                <w:szCs w:val="24"/>
                <w:lang w:eastAsia="fr-FR"/>
              </w:rPr>
              <m:t>0</m:t>
            </m:r>
          </m:sub>
        </m:sSub>
        <m:r>
          <w:rPr>
            <w:rFonts w:ascii="Cambria Math" w:eastAsiaTheme="minorEastAsia" w:hAnsi="Cambria Math" w:cstheme="majorBidi"/>
            <w:color w:val="000000" w:themeColor="text1"/>
            <w:sz w:val="24"/>
            <w:szCs w:val="24"/>
            <w:lang w:eastAsia="fr-FR"/>
          </w:rPr>
          <m:t>∈</m:t>
        </m:r>
        <m:d>
          <m:dPr>
            <m:begChr m:val="["/>
            <m:endChr m:val="["/>
            <m:ctrlPr>
              <w:rPr>
                <w:rFonts w:ascii="Cambria Math" w:eastAsiaTheme="minorEastAsia" w:hAnsi="Cambria Math" w:cstheme="majorBidi"/>
                <w:i/>
                <w:color w:val="000000" w:themeColor="text1"/>
                <w:sz w:val="24"/>
                <w:szCs w:val="24"/>
                <w:lang w:eastAsia="fr-FR"/>
              </w:rPr>
            </m:ctrlPr>
          </m:dPr>
          <m:e>
            <m:r>
              <w:rPr>
                <w:rFonts w:ascii="Cambria Math" w:eastAsiaTheme="minorEastAsia" w:hAnsi="Cambria Math" w:cstheme="majorBidi"/>
                <w:color w:val="000000" w:themeColor="text1"/>
                <w:sz w:val="24"/>
                <w:szCs w:val="24"/>
                <w:lang w:eastAsia="fr-FR"/>
              </w:rPr>
              <m:t>-1,+∞</m:t>
            </m:r>
          </m:e>
        </m:d>
      </m:oMath>
      <w:r>
        <w:rPr>
          <w:rFonts w:asciiTheme="majorBidi" w:hAnsiTheme="majorBidi" w:cstheme="majorBidi"/>
          <w:sz w:val="24"/>
          <w:szCs w:val="24"/>
          <w:lang w:eastAsia="fr-FR"/>
        </w:rPr>
        <w:t xml:space="preserve">. De plus, en répétant le test, pour un ensemble de valeurs </w:t>
      </w:r>
      <m:oMath>
        <m:sSubSup>
          <m:sSubSupPr>
            <m:ctrlPr>
              <w:rPr>
                <w:rFonts w:ascii="Cambria Math" w:hAnsi="Cambria Math" w:cstheme="majorBidi"/>
                <w:i/>
                <w:sz w:val="24"/>
                <w:szCs w:val="24"/>
                <w:lang w:eastAsia="fr-FR"/>
              </w:rPr>
            </m:ctrlPr>
          </m:sSubSupPr>
          <m:e>
            <m:r>
              <w:rPr>
                <w:rFonts w:ascii="Cambria Math" w:hAnsi="Cambria Math" w:cstheme="majorBidi"/>
                <w:sz w:val="24"/>
                <w:szCs w:val="24"/>
                <w:lang w:eastAsia="fr-FR"/>
              </w:rPr>
              <m:t>d</m:t>
            </m:r>
          </m:e>
          <m:sub>
            <m:r>
              <w:rPr>
                <w:rFonts w:ascii="Cambria Math" w:hAnsi="Cambria Math" w:cstheme="majorBidi"/>
                <w:sz w:val="24"/>
                <w:szCs w:val="24"/>
                <w:lang w:eastAsia="fr-FR"/>
              </w:rPr>
              <m:t>0</m:t>
            </m:r>
          </m:sub>
          <m:sup>
            <m:r>
              <w:rPr>
                <w:rFonts w:ascii="Cambria Math" w:hAnsi="Cambria Math" w:cstheme="majorBidi"/>
                <w:sz w:val="24"/>
                <w:szCs w:val="24"/>
                <w:lang w:eastAsia="fr-FR"/>
              </w:rPr>
              <m:t>1</m:t>
            </m:r>
          </m:sup>
        </m:sSubSup>
        <m:r>
          <w:rPr>
            <w:rFonts w:ascii="Cambria Math" w:hAnsi="Cambria Math" w:cstheme="majorBidi"/>
            <w:sz w:val="24"/>
            <w:szCs w:val="24"/>
            <w:lang w:eastAsia="fr-FR"/>
          </w:rPr>
          <m:t>&lt;</m:t>
        </m:r>
        <m:sSubSup>
          <m:sSubSupPr>
            <m:ctrlPr>
              <w:rPr>
                <w:rFonts w:ascii="Cambria Math" w:hAnsi="Cambria Math" w:cstheme="majorBidi"/>
                <w:i/>
                <w:sz w:val="24"/>
                <w:szCs w:val="24"/>
                <w:lang w:eastAsia="fr-FR"/>
              </w:rPr>
            </m:ctrlPr>
          </m:sSubSupPr>
          <m:e>
            <m:r>
              <w:rPr>
                <w:rFonts w:ascii="Cambria Math" w:hAnsi="Cambria Math" w:cstheme="majorBidi"/>
                <w:sz w:val="24"/>
                <w:szCs w:val="24"/>
                <w:lang w:eastAsia="fr-FR"/>
              </w:rPr>
              <m:t>d</m:t>
            </m:r>
          </m:e>
          <m:sub>
            <m:r>
              <w:rPr>
                <w:rFonts w:ascii="Cambria Math" w:hAnsi="Cambria Math" w:cstheme="majorBidi"/>
                <w:sz w:val="24"/>
                <w:szCs w:val="24"/>
                <w:lang w:eastAsia="fr-FR"/>
              </w:rPr>
              <m:t>0</m:t>
            </m:r>
          </m:sub>
          <m:sup>
            <m:r>
              <w:rPr>
                <w:rFonts w:ascii="Cambria Math" w:hAnsi="Cambria Math" w:cstheme="majorBidi"/>
                <w:sz w:val="24"/>
                <w:szCs w:val="24"/>
                <w:lang w:eastAsia="fr-FR"/>
              </w:rPr>
              <m:t>2</m:t>
            </m:r>
          </m:sup>
        </m:sSubSup>
        <m:r>
          <w:rPr>
            <w:rFonts w:ascii="Cambria Math" w:hAnsi="Cambria Math" w:cstheme="majorBidi"/>
            <w:sz w:val="24"/>
            <w:szCs w:val="24"/>
            <w:lang w:eastAsia="fr-FR"/>
          </w:rPr>
          <m:t>&lt;⋯&lt;</m:t>
        </m:r>
        <m:sSubSup>
          <m:sSubSupPr>
            <m:ctrlPr>
              <w:rPr>
                <w:rFonts w:ascii="Cambria Math" w:hAnsi="Cambria Math" w:cstheme="majorBidi"/>
                <w:i/>
                <w:sz w:val="24"/>
                <w:szCs w:val="24"/>
                <w:lang w:eastAsia="fr-FR"/>
              </w:rPr>
            </m:ctrlPr>
          </m:sSubSupPr>
          <m:e>
            <m:r>
              <w:rPr>
                <w:rFonts w:ascii="Cambria Math" w:hAnsi="Cambria Math" w:cstheme="majorBidi"/>
                <w:sz w:val="24"/>
                <w:szCs w:val="24"/>
                <w:lang w:eastAsia="fr-FR"/>
              </w:rPr>
              <m:t>d</m:t>
            </m:r>
          </m:e>
          <m:sub>
            <m:r>
              <w:rPr>
                <w:rFonts w:ascii="Cambria Math" w:hAnsi="Cambria Math" w:cstheme="majorBidi"/>
                <w:sz w:val="24"/>
                <w:szCs w:val="24"/>
                <w:lang w:eastAsia="fr-FR"/>
              </w:rPr>
              <m:t>0</m:t>
            </m:r>
          </m:sub>
          <m:sup>
            <m:r>
              <w:rPr>
                <w:rFonts w:ascii="Cambria Math" w:hAnsi="Cambria Math" w:cstheme="majorBidi"/>
                <w:sz w:val="24"/>
                <w:szCs w:val="24"/>
                <w:lang w:eastAsia="fr-FR"/>
              </w:rPr>
              <m:t>k</m:t>
            </m:r>
          </m:sup>
        </m:sSubSup>
      </m:oMath>
      <w:r>
        <w:rPr>
          <w:rFonts w:asciiTheme="majorBidi" w:eastAsiaTheme="minorEastAsia" w:hAnsiTheme="majorBidi" w:cstheme="majorBidi"/>
          <w:sz w:val="24"/>
          <w:szCs w:val="24"/>
          <w:lang w:eastAsia="fr-FR"/>
        </w:rPr>
        <w:t xml:space="preserve">, dans le sens ascendant ou descendant, on peut déterminer un  domaine de recouvrement du paramètre </w:t>
      </w:r>
      <m:oMath>
        <m:r>
          <w:rPr>
            <w:rFonts w:ascii="Cambria Math" w:eastAsiaTheme="minorEastAsia" w:hAnsi="Cambria Math" w:cstheme="majorBidi"/>
            <w:sz w:val="24"/>
            <w:szCs w:val="24"/>
            <w:lang w:eastAsia="fr-FR"/>
          </w:rPr>
          <m:t>d</m:t>
        </m:r>
      </m:oMath>
      <w:r>
        <w:rPr>
          <w:rFonts w:asciiTheme="majorBidi" w:eastAsiaTheme="minorEastAsia" w:hAnsiTheme="majorBidi" w:cstheme="majorBidi"/>
          <w:sz w:val="24"/>
          <w:szCs w:val="24"/>
          <w:lang w:eastAsia="fr-FR"/>
        </w:rPr>
        <w:t>, aussi petit que l’on veut.</w:t>
      </w:r>
      <w:r w:rsidR="00090CEE">
        <w:rPr>
          <w:rFonts w:asciiTheme="majorBidi" w:hAnsiTheme="majorBidi" w:cstheme="majorBidi"/>
          <w:sz w:val="24"/>
          <w:szCs w:val="24"/>
          <w:lang w:eastAsia="fr-FR"/>
        </w:rPr>
        <w:t xml:space="preserve"> </w:t>
      </w:r>
    </w:p>
    <w:p w:rsidR="00EC38C8" w:rsidRDefault="00EC38C8" w:rsidP="00090CEE">
      <w:pPr>
        <w:spacing w:line="276" w:lineRule="auto"/>
        <w:ind w:firstLine="708"/>
        <w:jc w:val="both"/>
        <w:rPr>
          <w:rFonts w:asciiTheme="majorBidi" w:hAnsiTheme="majorBidi" w:cstheme="majorBidi"/>
          <w:sz w:val="24"/>
          <w:szCs w:val="24"/>
          <w:lang w:eastAsia="fr-FR"/>
        </w:rPr>
      </w:pPr>
      <w:r>
        <w:rPr>
          <w:rFonts w:asciiTheme="majorBidi" w:hAnsiTheme="majorBidi" w:cstheme="majorBidi"/>
          <w:sz w:val="24"/>
          <w:szCs w:val="24"/>
          <w:lang w:eastAsia="fr-FR"/>
        </w:rPr>
        <w:t xml:space="preserve">Cette thèse est composée de quatre chapitres. Dans le premier chapitre, en plus de l’exposé des principales caractéristiques et propriétés des processus </w:t>
      </w:r>
      <m:oMath>
        <m:r>
          <w:rPr>
            <w:rFonts w:ascii="Cambria Math" w:hAnsi="Cambria Math" w:cstheme="majorBidi"/>
            <w:sz w:val="24"/>
            <w:szCs w:val="24"/>
            <w:lang w:eastAsia="fr-FR"/>
          </w:rPr>
          <m:t>ARFIMA</m:t>
        </m:r>
      </m:oMath>
      <w:r>
        <w:rPr>
          <w:rFonts w:asciiTheme="majorBidi" w:hAnsiTheme="majorBidi" w:cstheme="majorBidi"/>
          <w:sz w:val="24"/>
          <w:szCs w:val="24"/>
          <w:lang w:eastAsia="fr-FR"/>
        </w:rPr>
        <w:t xml:space="preserve">, une analyse critique, des procédures de test proposées par </w:t>
      </w:r>
      <w:r w:rsidRPr="00B44E1A">
        <w:rPr>
          <w:rFonts w:asciiTheme="majorBidi" w:hAnsiTheme="majorBidi" w:cstheme="majorBidi"/>
          <w:sz w:val="24"/>
          <w:szCs w:val="24"/>
          <w:lang w:eastAsia="fr-FR"/>
        </w:rPr>
        <w:t xml:space="preserve">Robinson (1991,1994), Tanaka (1991), </w:t>
      </w:r>
      <w:proofErr w:type="spellStart"/>
      <w:r w:rsidRPr="00B44E1A">
        <w:rPr>
          <w:rFonts w:asciiTheme="majorBidi" w:hAnsiTheme="majorBidi" w:cstheme="majorBidi"/>
          <w:sz w:val="24"/>
          <w:szCs w:val="24"/>
          <w:lang w:eastAsia="fr-FR"/>
        </w:rPr>
        <w:t>Do</w:t>
      </w:r>
      <w:r>
        <w:rPr>
          <w:rFonts w:asciiTheme="majorBidi" w:hAnsiTheme="majorBidi" w:cstheme="majorBidi"/>
          <w:sz w:val="24"/>
          <w:szCs w:val="24"/>
          <w:lang w:eastAsia="fr-FR"/>
        </w:rPr>
        <w:t>lado</w:t>
      </w:r>
      <w:proofErr w:type="spellEnd"/>
      <w:r>
        <w:rPr>
          <w:rFonts w:asciiTheme="majorBidi" w:hAnsiTheme="majorBidi" w:cstheme="majorBidi"/>
          <w:sz w:val="24"/>
          <w:szCs w:val="24"/>
          <w:lang w:eastAsia="fr-FR"/>
        </w:rPr>
        <w:t xml:space="preserve">, Gonzalo et Mayoral (2002), sera faite. Dans le chapitre 2, en utilisant le travail de </w:t>
      </w:r>
      <w:proofErr w:type="spellStart"/>
      <w:r>
        <w:rPr>
          <w:rFonts w:asciiTheme="majorBidi" w:hAnsiTheme="majorBidi" w:cstheme="majorBidi"/>
          <w:sz w:val="24"/>
          <w:szCs w:val="24"/>
          <w:lang w:eastAsia="fr-FR"/>
        </w:rPr>
        <w:t>Sowell</w:t>
      </w:r>
      <w:proofErr w:type="spellEnd"/>
      <w:r>
        <w:rPr>
          <w:rFonts w:asciiTheme="majorBidi" w:hAnsiTheme="majorBidi" w:cstheme="majorBidi"/>
          <w:sz w:val="24"/>
          <w:szCs w:val="24"/>
          <w:lang w:eastAsia="fr-FR"/>
        </w:rPr>
        <w:t xml:space="preserve"> (1990), on explique comment appréhender, d’un point de vue théorique et pratique, le test de racines unitaires dans le contexte de l’intégration fractionnaire. Le chapitre 3, les fondements théoriques de la généralisation du test de </w:t>
      </w:r>
      <w:proofErr w:type="spellStart"/>
      <w:r>
        <w:rPr>
          <w:rFonts w:asciiTheme="majorBidi" w:hAnsiTheme="majorBidi" w:cstheme="majorBidi"/>
          <w:sz w:val="24"/>
          <w:szCs w:val="24"/>
          <w:lang w:eastAsia="fr-FR"/>
        </w:rPr>
        <w:t>Dickey</w:t>
      </w:r>
      <w:proofErr w:type="spellEnd"/>
      <w:r>
        <w:rPr>
          <w:rFonts w:asciiTheme="majorBidi" w:hAnsiTheme="majorBidi" w:cstheme="majorBidi"/>
          <w:sz w:val="24"/>
          <w:szCs w:val="24"/>
          <w:lang w:eastAsia="fr-FR"/>
        </w:rPr>
        <w:t xml:space="preserve">-Fuller au cas fractionnaire sont donnés. Ce test est appelé, en abrégé, F-DF test. Dans le même chapitre nous montrons comment utiliser cette généralisation pour l’hypothèse nulle d’absence de Co-intégration fractionnaire entre deux variables.  Le travail de </w:t>
      </w:r>
      <w:proofErr w:type="spellStart"/>
      <w:r>
        <w:rPr>
          <w:rFonts w:asciiTheme="majorBidi" w:hAnsiTheme="majorBidi" w:cstheme="majorBidi"/>
          <w:sz w:val="24"/>
          <w:szCs w:val="24"/>
          <w:lang w:eastAsia="fr-FR"/>
        </w:rPr>
        <w:t>Sowell</w:t>
      </w:r>
      <w:proofErr w:type="spellEnd"/>
      <w:r>
        <w:rPr>
          <w:rFonts w:asciiTheme="majorBidi" w:hAnsiTheme="majorBidi" w:cstheme="majorBidi"/>
          <w:sz w:val="24"/>
          <w:szCs w:val="24"/>
          <w:lang w:eastAsia="fr-FR"/>
        </w:rPr>
        <w:t xml:space="preserve"> (1990) révèle que les processus </w:t>
      </w:r>
      <m:oMath>
        <m:r>
          <w:rPr>
            <w:rFonts w:ascii="Cambria Math" w:hAnsi="Cambria Math" w:cstheme="majorBidi"/>
            <w:sz w:val="24"/>
            <w:szCs w:val="24"/>
            <w:lang w:eastAsia="fr-FR"/>
          </w:rPr>
          <m:t>ARFIMA(p,d,q)</m:t>
        </m:r>
      </m:oMath>
      <w:r>
        <w:rPr>
          <w:rFonts w:asciiTheme="majorBidi" w:hAnsiTheme="majorBidi" w:cstheme="majorBidi"/>
          <w:sz w:val="24"/>
          <w:szCs w:val="24"/>
          <w:lang w:eastAsia="fr-FR"/>
        </w:rPr>
        <w:t xml:space="preserve"> ne sont pas  explosifs. L’étude des propriétés mathématiques, probabilistes et graphiques, induites par cette caractéristique est l’objet du chapitre 4. Le lecteur trouvera, aussi, dans le chapitre 4 un exemple d’application, sur des données réelles, du test F-DF. </w:t>
      </w:r>
    </w:p>
    <w:sectPr w:rsidR="00EC38C8" w:rsidSect="00C808E4">
      <w:pgSz w:w="11906" w:h="16838"/>
      <w:pgMar w:top="851" w:right="851" w:bottom="1134"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38C8"/>
    <w:rsid w:val="00090CEE"/>
    <w:rsid w:val="00384118"/>
    <w:rsid w:val="0039333A"/>
    <w:rsid w:val="007B149A"/>
    <w:rsid w:val="00934C53"/>
    <w:rsid w:val="00C808E4"/>
    <w:rsid w:val="00D36CF0"/>
    <w:rsid w:val="00EC38C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C7938EF-EF5D-4BCA-BC76-E7170AE62A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38C8"/>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513</Words>
  <Characters>2823</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naima</cp:lastModifiedBy>
  <cp:revision>8</cp:revision>
  <dcterms:created xsi:type="dcterms:W3CDTF">2018-06-18T12:47:00Z</dcterms:created>
  <dcterms:modified xsi:type="dcterms:W3CDTF">2018-10-16T10:49:00Z</dcterms:modified>
</cp:coreProperties>
</file>