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A93770" w:rsidRDefault="00A93770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</w:p>
    <w:p w:rsidR="00F5317E" w:rsidRPr="00FE4CCE" w:rsidRDefault="00F5317E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sz w:val="24"/>
          <w:lang w:eastAsia="en-US"/>
        </w:rPr>
      </w:pPr>
      <w:r w:rsidRPr="00FE4CCE">
        <w:rPr>
          <w:rFonts w:asciiTheme="majorBidi" w:eastAsiaTheme="minorHAnsi" w:hAnsiTheme="majorBidi" w:cstheme="majorBidi"/>
          <w:b/>
          <w:bCs/>
          <w:sz w:val="24"/>
          <w:lang w:eastAsia="en-US"/>
        </w:rPr>
        <w:t>Résumé</w:t>
      </w:r>
      <w:bookmarkStart w:id="0" w:name="_GoBack"/>
      <w:bookmarkEnd w:id="0"/>
    </w:p>
    <w:p w:rsidR="00FE4CCE" w:rsidRPr="00F5317E" w:rsidRDefault="00FE4CCE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b/>
          <w:bCs/>
          <w:rtl/>
          <w:lang w:eastAsia="en-US"/>
        </w:rPr>
      </w:pPr>
    </w:p>
    <w:p w:rsidR="00F5317E" w:rsidRDefault="00F5317E" w:rsidP="00F5317E">
      <w:pPr>
        <w:autoSpaceDE w:val="0"/>
        <w:autoSpaceDN w:val="0"/>
        <w:adjustRightInd w:val="0"/>
        <w:spacing w:after="0" w:line="240" w:lineRule="auto"/>
        <w:rPr>
          <w:rFonts w:asciiTheme="majorBidi" w:eastAsiaTheme="minorHAnsi" w:hAnsiTheme="majorBidi" w:cstheme="majorBidi"/>
          <w:lang w:eastAsia="en-US"/>
        </w:rPr>
      </w:pPr>
      <w:r w:rsidRPr="00D371CD">
        <w:rPr>
          <w:rFonts w:asciiTheme="majorBidi" w:eastAsiaTheme="minorHAnsi" w:hAnsiTheme="majorBidi" w:cstheme="majorBidi"/>
          <w:lang w:eastAsia="en-US"/>
        </w:rPr>
        <w:t xml:space="preserve">L’uvéite représente un des critères majeurs de diagnostic de la maladie </w:t>
      </w:r>
      <w:r>
        <w:rPr>
          <w:rFonts w:asciiTheme="majorBidi" w:eastAsiaTheme="minorHAnsi" w:hAnsiTheme="majorBidi" w:cstheme="majorBidi"/>
          <w:lang w:eastAsia="en-US"/>
        </w:rPr>
        <w:t xml:space="preserve">de </w:t>
      </w:r>
      <w:proofErr w:type="spellStart"/>
      <w:r>
        <w:rPr>
          <w:rFonts w:asciiTheme="majorBidi" w:eastAsiaTheme="minorHAnsi" w:hAnsiTheme="majorBidi" w:cstheme="majorBidi"/>
          <w:lang w:eastAsia="en-US"/>
        </w:rPr>
        <w:t>Behc</w:t>
      </w:r>
      <w:r w:rsidRPr="00D371CD">
        <w:rPr>
          <w:rFonts w:asciiTheme="majorBidi" w:eastAsiaTheme="minorHAnsi" w:hAnsiTheme="majorBidi" w:cstheme="majorBidi"/>
          <w:lang w:eastAsia="en-US"/>
        </w:rPr>
        <w:t>et</w:t>
      </w:r>
      <w:proofErr w:type="spellEnd"/>
      <w:r>
        <w:rPr>
          <w:rFonts w:asciiTheme="majorBidi" w:eastAsiaTheme="minorHAnsi" w:hAnsiTheme="majorBidi" w:cstheme="majorBidi"/>
          <w:lang w:eastAsia="en-US"/>
        </w:rPr>
        <w:t xml:space="preserve"> (MB), </w:t>
      </w:r>
      <w:r w:rsidR="004C4D78">
        <w:rPr>
          <w:rFonts w:asciiTheme="majorBidi" w:eastAsiaTheme="minorHAnsi" w:hAnsiTheme="majorBidi" w:cstheme="majorBidi"/>
          <w:lang w:eastAsia="en-US"/>
        </w:rPr>
        <w:t xml:space="preserve">elle est </w:t>
      </w:r>
      <w:r w:rsidRPr="00D371CD">
        <w:rPr>
          <w:rFonts w:asciiTheme="majorBidi" w:eastAsiaTheme="minorHAnsi" w:hAnsiTheme="majorBidi" w:cstheme="majorBidi"/>
          <w:lang w:eastAsia="en-US"/>
        </w:rPr>
        <w:t>plus fréquente chez les patients de sexe masculin, not</w:t>
      </w:r>
      <w:r>
        <w:rPr>
          <w:rFonts w:asciiTheme="majorBidi" w:eastAsiaTheme="minorHAnsi" w:hAnsiTheme="majorBidi" w:cstheme="majorBidi"/>
          <w:lang w:eastAsia="en-US"/>
        </w:rPr>
        <w:t>re but était d’</w:t>
      </w:r>
      <w:r w:rsidR="004C4D78">
        <w:rPr>
          <w:rFonts w:asciiTheme="majorBidi" w:eastAsiaTheme="minorHAnsi" w:hAnsiTheme="majorBidi" w:cstheme="majorBidi"/>
          <w:lang w:eastAsia="en-US"/>
        </w:rPr>
        <w:t>étudier</w:t>
      </w:r>
      <w:r w:rsidRPr="00D371CD">
        <w:rPr>
          <w:rFonts w:asciiTheme="majorBidi" w:eastAsiaTheme="minorHAnsi" w:hAnsiTheme="majorBidi" w:cstheme="majorBidi"/>
          <w:lang w:eastAsia="en-US"/>
        </w:rPr>
        <w:t xml:space="preserve"> l’effet des hormones sexuelles dans la physiopathologie de l</w:t>
      </w:r>
      <w:r>
        <w:rPr>
          <w:rFonts w:asciiTheme="majorBidi" w:eastAsiaTheme="minorHAnsi" w:hAnsiTheme="majorBidi" w:cstheme="majorBidi"/>
          <w:lang w:eastAsia="en-US"/>
        </w:rPr>
        <w:t xml:space="preserve">a MB. </w:t>
      </w:r>
      <w:r w:rsidRPr="00D371CD">
        <w:rPr>
          <w:rFonts w:asciiTheme="majorBidi" w:eastAsiaTheme="minorHAnsi" w:hAnsiTheme="majorBidi" w:cstheme="majorBidi"/>
          <w:lang w:eastAsia="en-US"/>
        </w:rPr>
        <w:t xml:space="preserve"> L’estradiol, la testostérone et le cortisol ont</w:t>
      </w:r>
      <w:r>
        <w:rPr>
          <w:rFonts w:asciiTheme="majorBidi" w:eastAsiaTheme="minorHAnsi" w:hAnsiTheme="majorBidi" w:cstheme="majorBidi"/>
          <w:lang w:eastAsia="en-US"/>
        </w:rPr>
        <w:t xml:space="preserve"> été quantifiés.</w:t>
      </w:r>
      <w:r w:rsidRPr="00D371CD">
        <w:rPr>
          <w:rFonts w:asciiTheme="majorBidi" w:eastAsiaTheme="minorHAnsi" w:hAnsiTheme="majorBidi" w:cstheme="majorBidi"/>
          <w:lang w:eastAsia="en-US"/>
        </w:rPr>
        <w:t xml:space="preserve"> Le monoxyde d’azote (NO) et l’IL-12 ont été mesurés in vivo et in </w:t>
      </w:r>
      <w:proofErr w:type="gramStart"/>
      <w:r w:rsidRPr="00D371CD">
        <w:rPr>
          <w:rFonts w:asciiTheme="majorBidi" w:eastAsiaTheme="minorHAnsi" w:hAnsiTheme="majorBidi" w:cstheme="majorBidi"/>
          <w:lang w:eastAsia="en-US"/>
        </w:rPr>
        <w:t>vitro</w:t>
      </w:r>
      <w:r>
        <w:rPr>
          <w:rFonts w:asciiTheme="majorBidi" w:eastAsiaTheme="minorHAnsi" w:hAnsiTheme="majorBidi" w:cstheme="majorBidi"/>
          <w:lang w:eastAsia="en-US"/>
        </w:rPr>
        <w:t> .</w:t>
      </w:r>
      <w:r w:rsidR="004C4D78">
        <w:rPr>
          <w:rFonts w:asciiTheme="majorBidi" w:eastAsiaTheme="minorHAnsi" w:hAnsiTheme="majorBidi" w:cstheme="majorBidi"/>
          <w:lang w:eastAsia="en-US"/>
        </w:rPr>
        <w:t>.</w:t>
      </w:r>
      <w:proofErr w:type="gramEnd"/>
      <w:r w:rsidR="004C4D78">
        <w:rPr>
          <w:rFonts w:asciiTheme="majorBidi" w:eastAsiaTheme="minorHAnsi" w:hAnsiTheme="majorBidi" w:cstheme="majorBidi"/>
          <w:lang w:eastAsia="en-US"/>
        </w:rPr>
        <w:t xml:space="preserve"> </w:t>
      </w:r>
      <w:r>
        <w:rPr>
          <w:rFonts w:asciiTheme="majorBidi" w:eastAsiaTheme="minorHAnsi" w:hAnsiTheme="majorBidi" w:cstheme="majorBidi"/>
          <w:lang w:eastAsia="en-US"/>
        </w:rPr>
        <w:t>. L’IL-12 a montré le mê</w:t>
      </w:r>
      <w:r w:rsidRPr="00D371CD">
        <w:rPr>
          <w:rFonts w:asciiTheme="majorBidi" w:eastAsiaTheme="minorHAnsi" w:hAnsiTheme="majorBidi" w:cstheme="majorBidi"/>
          <w:lang w:eastAsia="en-US"/>
        </w:rPr>
        <w:t xml:space="preserve">me profil que le NO chez les </w:t>
      </w:r>
      <w:proofErr w:type="gramStart"/>
      <w:r w:rsidRPr="00D371CD">
        <w:rPr>
          <w:rFonts w:asciiTheme="majorBidi" w:eastAsiaTheme="minorHAnsi" w:hAnsiTheme="majorBidi" w:cstheme="majorBidi"/>
          <w:lang w:eastAsia="en-US"/>
        </w:rPr>
        <w:t>femmes</w:t>
      </w:r>
      <w:r>
        <w:rPr>
          <w:rFonts w:asciiTheme="majorBidi" w:eastAsiaTheme="minorHAnsi" w:hAnsiTheme="majorBidi" w:cstheme="majorBidi"/>
          <w:lang w:eastAsia="en-US"/>
        </w:rPr>
        <w:t xml:space="preserve"> </w:t>
      </w:r>
      <w:r w:rsidRPr="00D371CD">
        <w:rPr>
          <w:rFonts w:asciiTheme="majorBidi" w:eastAsiaTheme="minorHAnsi" w:hAnsiTheme="majorBidi" w:cstheme="majorBidi"/>
          <w:lang w:eastAsia="en-US"/>
        </w:rPr>
        <w:t>.</w:t>
      </w:r>
      <w:proofErr w:type="gramEnd"/>
      <w:r w:rsidRPr="00D371CD">
        <w:rPr>
          <w:rFonts w:asciiTheme="majorBidi" w:eastAsiaTheme="minorHAnsi" w:hAnsiTheme="majorBidi" w:cstheme="majorBidi"/>
          <w:lang w:eastAsia="en-US"/>
        </w:rPr>
        <w:t xml:space="preserve"> Dans</w:t>
      </w:r>
      <w:r>
        <w:rPr>
          <w:rFonts w:asciiTheme="majorBidi" w:eastAsiaTheme="minorHAnsi" w:hAnsiTheme="majorBidi" w:cstheme="majorBidi"/>
          <w:lang w:eastAsia="en-US"/>
        </w:rPr>
        <w:t xml:space="preserve"> </w:t>
      </w:r>
      <w:r w:rsidRPr="00D371CD">
        <w:rPr>
          <w:rFonts w:asciiTheme="majorBidi" w:eastAsiaTheme="minorHAnsi" w:hAnsiTheme="majorBidi" w:cstheme="majorBidi"/>
          <w:lang w:eastAsia="en-US"/>
        </w:rPr>
        <w:t>leur globalité, nos résultats pourraient expliquer d’une part, le sex-</w:t>
      </w:r>
      <w:proofErr w:type="gramStart"/>
      <w:r w:rsidRPr="00D371CD">
        <w:rPr>
          <w:rFonts w:asciiTheme="majorBidi" w:eastAsiaTheme="minorHAnsi" w:hAnsiTheme="majorBidi" w:cstheme="majorBidi"/>
          <w:lang w:eastAsia="en-US"/>
        </w:rPr>
        <w:t xml:space="preserve">ratio </w:t>
      </w:r>
      <w:r>
        <w:rPr>
          <w:rFonts w:asciiTheme="majorBidi" w:eastAsiaTheme="minorHAnsi" w:hAnsiTheme="majorBidi" w:cstheme="majorBidi"/>
          <w:lang w:eastAsia="en-US"/>
        </w:rPr>
        <w:t xml:space="preserve"> </w:t>
      </w:r>
      <w:r w:rsidRPr="00D371CD">
        <w:rPr>
          <w:rFonts w:asciiTheme="majorBidi" w:eastAsiaTheme="minorHAnsi" w:hAnsiTheme="majorBidi" w:cstheme="majorBidi"/>
          <w:lang w:eastAsia="en-US"/>
        </w:rPr>
        <w:t>caractéristique</w:t>
      </w:r>
      <w:proofErr w:type="gramEnd"/>
      <w:r w:rsidRPr="00D371CD">
        <w:rPr>
          <w:rFonts w:asciiTheme="majorBidi" w:eastAsiaTheme="minorHAnsi" w:hAnsiTheme="majorBidi" w:cstheme="majorBidi"/>
          <w:lang w:eastAsia="en-US"/>
        </w:rPr>
        <w:t xml:space="preserve"> de la</w:t>
      </w:r>
      <w:r>
        <w:rPr>
          <w:rFonts w:asciiTheme="majorBidi" w:eastAsiaTheme="minorHAnsi" w:hAnsiTheme="majorBidi" w:cstheme="majorBidi"/>
          <w:lang w:eastAsia="en-US"/>
        </w:rPr>
        <w:t xml:space="preserve"> </w:t>
      </w:r>
      <w:r w:rsidRPr="00D371CD">
        <w:rPr>
          <w:rFonts w:asciiTheme="majorBidi" w:eastAsiaTheme="minorHAnsi" w:hAnsiTheme="majorBidi" w:cstheme="majorBidi"/>
          <w:lang w:eastAsia="en-US"/>
        </w:rPr>
        <w:t xml:space="preserve">maladie de </w:t>
      </w:r>
      <w:proofErr w:type="spellStart"/>
      <w:r w:rsidRPr="00D371CD">
        <w:rPr>
          <w:rFonts w:asciiTheme="majorBidi" w:eastAsiaTheme="minorHAnsi" w:hAnsiTheme="majorBidi" w:cstheme="majorBidi"/>
          <w:lang w:eastAsia="en-US"/>
        </w:rPr>
        <w:t>Beh</w:t>
      </w:r>
      <w:r w:rsidR="004C4D78">
        <w:rPr>
          <w:rFonts w:asciiTheme="majorBidi" w:eastAsiaTheme="minorHAnsi" w:hAnsiTheme="majorBidi" w:cstheme="majorBidi"/>
          <w:rtl/>
          <w:lang w:eastAsia="en-US"/>
        </w:rPr>
        <w:t>c</w:t>
      </w:r>
      <w:proofErr w:type="spellEnd"/>
      <w:r w:rsidRPr="00D371CD">
        <w:rPr>
          <w:rFonts w:asciiTheme="majorBidi" w:eastAsiaTheme="minorHAnsi" w:hAnsiTheme="majorBidi" w:cstheme="majorBidi"/>
          <w:lang w:eastAsia="en-US"/>
        </w:rPr>
        <w:t xml:space="preserve">et </w:t>
      </w:r>
      <w:proofErr w:type="spellStart"/>
      <w:r w:rsidRPr="00D371CD">
        <w:rPr>
          <w:rFonts w:asciiTheme="majorBidi" w:eastAsiaTheme="minorHAnsi" w:hAnsiTheme="majorBidi" w:cstheme="majorBidi"/>
          <w:lang w:eastAsia="en-US"/>
        </w:rPr>
        <w:t>et</w:t>
      </w:r>
      <w:proofErr w:type="spellEnd"/>
      <w:r w:rsidRPr="00D371CD">
        <w:rPr>
          <w:rFonts w:asciiTheme="majorBidi" w:eastAsiaTheme="minorHAnsi" w:hAnsiTheme="majorBidi" w:cstheme="majorBidi"/>
          <w:lang w:eastAsia="en-US"/>
        </w:rPr>
        <w:t xml:space="preserve"> d’autre part, l’effet protecteur des </w:t>
      </w:r>
      <w:r w:rsidR="004C4D78" w:rsidRPr="00D371CD">
        <w:rPr>
          <w:rFonts w:asciiTheme="majorBidi" w:eastAsiaTheme="minorHAnsi" w:hAnsiTheme="majorBidi" w:cstheme="majorBidi"/>
          <w:lang w:eastAsia="en-US"/>
        </w:rPr>
        <w:t>glucocorticoïdes</w:t>
      </w:r>
      <w:r w:rsidRPr="00D371CD">
        <w:rPr>
          <w:rFonts w:asciiTheme="majorBidi" w:eastAsiaTheme="minorHAnsi" w:hAnsiTheme="majorBidi" w:cstheme="majorBidi"/>
          <w:lang w:eastAsia="en-US"/>
        </w:rPr>
        <w:t xml:space="preserve"> observé chez </w:t>
      </w:r>
      <w:r w:rsidR="004C4D78" w:rsidRPr="00D371CD">
        <w:rPr>
          <w:rFonts w:asciiTheme="majorBidi" w:eastAsiaTheme="minorHAnsi" w:hAnsiTheme="majorBidi" w:cstheme="majorBidi"/>
          <w:lang w:eastAsia="en-US"/>
        </w:rPr>
        <w:t>les patients</w:t>
      </w:r>
      <w:r w:rsidRPr="00D371CD">
        <w:rPr>
          <w:rFonts w:asciiTheme="majorBidi" w:eastAsiaTheme="minorHAnsi" w:hAnsiTheme="majorBidi" w:cstheme="majorBidi"/>
          <w:lang w:eastAsia="en-US"/>
        </w:rPr>
        <w:t>.</w:t>
      </w:r>
    </w:p>
    <w:sectPr w:rsidR="00F5317E" w:rsidSect="009503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5317E"/>
    <w:rsid w:val="00136417"/>
    <w:rsid w:val="004C4D78"/>
    <w:rsid w:val="009503DA"/>
    <w:rsid w:val="00A93770"/>
    <w:rsid w:val="00F5317E"/>
    <w:rsid w:val="00FE4CCE"/>
    <w:rsid w:val="00FE74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17E"/>
    <w:pPr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CNSSec</dc:creator>
  <cp:keywords/>
  <dc:description/>
  <cp:lastModifiedBy>traitement</cp:lastModifiedBy>
  <cp:revision>4</cp:revision>
  <dcterms:created xsi:type="dcterms:W3CDTF">2017-02-06T20:47:00Z</dcterms:created>
  <dcterms:modified xsi:type="dcterms:W3CDTF">2017-05-22T12:02:00Z</dcterms:modified>
</cp:coreProperties>
</file>