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0330A" w:rsidRPr="00E0330A" w:rsidRDefault="00E0330A" w:rsidP="00E0330A">
      <w:pPr>
        <w:bidi w:val="0"/>
        <w:rPr>
          <w:lang w:val="fr-FR" w:bidi="ar-DZ"/>
        </w:rPr>
      </w:pPr>
      <w:r w:rsidRPr="00E0330A">
        <w:rPr>
          <w:lang w:val="fr-FR" w:bidi="ar-DZ"/>
        </w:rPr>
        <w:t>Le trend structural de Rhourde Nouss d'orientation NE-SW constitue un axe régional majeur de la partie SW du bassin de Berkine (Palte Forme Saharienne).  Plusieurs directions de faille NE-SE, N-S et E-W coexistent le long de ce trend.  L'architecture de ce trend montre une disposition en relai typique des failles décrochantes transpressives dextres  le long des accidents majeurs  de direction NE-SW. Les plissements de direction N-S se forment dans les zones de relais et sont associés à des failles chevauchantes vers le SE (exemple de la structure de Rhourde Nous centrale).</w:t>
      </w:r>
    </w:p>
    <w:p w:rsidR="00E0330A" w:rsidRPr="00E0330A" w:rsidRDefault="00E0330A" w:rsidP="00E0330A">
      <w:pPr>
        <w:bidi w:val="0"/>
        <w:rPr>
          <w:lang w:val="fr-FR" w:bidi="ar-DZ"/>
        </w:rPr>
      </w:pPr>
      <w:r w:rsidRPr="00E0330A">
        <w:rPr>
          <w:lang w:val="fr-FR" w:bidi="ar-DZ"/>
        </w:rPr>
        <w:t>L'architecture actuelle du trend de Rhourde Nouss est essentiellement héritée d'un  raccourcissement E-W en relation avec la phase tectonique autrichienne d'âge barrémien. Cette  phase  transpressive est responsable de la création des premiers pièges structuraux de cette région. La deuxième phase tardive va réactiver cette faille en faille inverse et aura comme conséquence de reconfigurer la géométrie des pièges crées durant la phase précédente.</w:t>
      </w:r>
    </w:p>
    <w:p w:rsidR="00E0330A" w:rsidRPr="00E0330A" w:rsidRDefault="00E0330A" w:rsidP="00E0330A">
      <w:pPr>
        <w:bidi w:val="0"/>
        <w:rPr>
          <w:lang w:val="fr-FR" w:bidi="ar-DZ"/>
        </w:rPr>
      </w:pPr>
      <w:r w:rsidRPr="00E0330A">
        <w:rPr>
          <w:lang w:val="fr-FR" w:bidi="ar-DZ"/>
        </w:rPr>
        <w:t>L'analyse des formations triassiques, de la nature des hydrocarbures ainsi que les pressions de réservoir de part et d'autre de la faille, milite en faveur d'un role actif de cette faille pendant, le dépots du réservoir-trias et le piégeage des hydrocarbures.</w:t>
      </w:r>
    </w:p>
    <w:p w:rsidR="004525C1" w:rsidRPr="00E0330A" w:rsidRDefault="00E0330A" w:rsidP="00E0330A">
      <w:pPr>
        <w:bidi w:val="0"/>
        <w:rPr>
          <w:rFonts w:hint="cs"/>
          <w:lang w:val="fr-FR" w:bidi="ar-DZ"/>
        </w:rPr>
      </w:pPr>
      <w:r w:rsidRPr="00E0330A">
        <w:rPr>
          <w:lang w:val="fr-FR" w:bidi="ar-DZ"/>
        </w:rPr>
        <w:t>Deux types de mécanisme d'étanchéïte sont décrits: juxtaposition de roches-réservoir et non réservoir et l'existence de réseau dense de bandes de déformations associé à la faille principale et affectant les barres gréseuses du Trias.</w:t>
      </w:r>
    </w:p>
    <w:sectPr w:rsidR="004525C1" w:rsidRPr="00E0330A" w:rsidSect="006D5754">
      <w:pgSz w:w="11906" w:h="16838"/>
      <w:pgMar w:top="1440" w:right="1800" w:bottom="1440" w:left="1800" w:header="708" w:footer="708" w:gutter="0"/>
      <w:cols w:space="708"/>
      <w:bidi/>
      <w:rtlGutter/>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E0330A"/>
    <w:rsid w:val="004525C1"/>
    <w:rsid w:val="006D5754"/>
    <w:rsid w:val="00E0330A"/>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525C1"/>
    <w:pPr>
      <w:bidi/>
    </w:p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227</Words>
  <Characters>1297</Characters>
  <Application>Microsoft Office Word</Application>
  <DocSecurity>0</DocSecurity>
  <Lines>10</Lines>
  <Paragraphs>3</Paragraphs>
  <ScaleCrop>false</ScaleCrop>
  <Company/>
  <LinksUpToDate>false</LinksUpToDate>
  <CharactersWithSpaces>1521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zidane</dc:creator>
  <cp:lastModifiedBy>zidane</cp:lastModifiedBy>
  <cp:revision>1</cp:revision>
  <dcterms:created xsi:type="dcterms:W3CDTF">2015-01-15T09:58:00Z</dcterms:created>
  <dcterms:modified xsi:type="dcterms:W3CDTF">2015-01-15T09:59:00Z</dcterms:modified>
</cp:coreProperties>
</file>