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0926" w:rsidRPr="005B0926" w:rsidRDefault="005B0926" w:rsidP="005B0926">
      <w:pPr>
        <w:jc w:val="both"/>
        <w:rPr>
          <w:rFonts w:ascii="Times New Roman" w:hAnsi="Times New Roman"/>
          <w:sz w:val="24"/>
          <w:szCs w:val="24"/>
        </w:rPr>
      </w:pPr>
      <w:r w:rsidRPr="005B0926">
        <w:rPr>
          <w:rFonts w:ascii="Times New Roman" w:hAnsi="Times New Roman"/>
          <w:sz w:val="24"/>
          <w:szCs w:val="24"/>
        </w:rPr>
        <w:t xml:space="preserve">La connaissance des propriétés structurales et physico-chimiques des </w:t>
      </w:r>
      <w:proofErr w:type="spellStart"/>
      <w:r w:rsidRPr="005B0926">
        <w:rPr>
          <w:rFonts w:ascii="Times New Roman" w:hAnsi="Times New Roman"/>
          <w:sz w:val="24"/>
          <w:szCs w:val="24"/>
        </w:rPr>
        <w:t>xénobiotiques</w:t>
      </w:r>
      <w:proofErr w:type="spellEnd"/>
      <w:r w:rsidRPr="005B0926">
        <w:rPr>
          <w:rFonts w:ascii="Times New Roman" w:hAnsi="Times New Roman"/>
          <w:sz w:val="24"/>
          <w:szCs w:val="24"/>
        </w:rPr>
        <w:t xml:space="preserve"> </w:t>
      </w:r>
    </w:p>
    <w:p w:rsidR="005B0926" w:rsidRPr="005B0926" w:rsidRDefault="005B0926" w:rsidP="005B0926">
      <w:pPr>
        <w:jc w:val="both"/>
        <w:rPr>
          <w:rFonts w:ascii="Times New Roman" w:hAnsi="Times New Roman"/>
          <w:sz w:val="24"/>
          <w:szCs w:val="24"/>
        </w:rPr>
      </w:pPr>
      <w:r w:rsidRPr="005B0926">
        <w:rPr>
          <w:rFonts w:ascii="Times New Roman" w:hAnsi="Times New Roman"/>
          <w:sz w:val="24"/>
          <w:szCs w:val="24"/>
        </w:rPr>
        <w:t>(</w:t>
      </w:r>
      <w:proofErr w:type="gramStart"/>
      <w:r w:rsidRPr="005B0926">
        <w:rPr>
          <w:rFonts w:ascii="Times New Roman" w:hAnsi="Times New Roman"/>
          <w:sz w:val="24"/>
          <w:szCs w:val="24"/>
        </w:rPr>
        <w:t>les</w:t>
      </w:r>
      <w:proofErr w:type="gramEnd"/>
      <w:r w:rsidRPr="005B0926">
        <w:rPr>
          <w:rFonts w:ascii="Times New Roman" w:hAnsi="Times New Roman"/>
          <w:sz w:val="24"/>
          <w:szCs w:val="24"/>
        </w:rPr>
        <w:t xml:space="preserve"> polychlorobiphényles (</w:t>
      </w:r>
      <w:proofErr w:type="spellStart"/>
      <w:r w:rsidRPr="005B0926">
        <w:rPr>
          <w:rFonts w:ascii="Times New Roman" w:hAnsi="Times New Roman"/>
          <w:sz w:val="24"/>
          <w:szCs w:val="24"/>
        </w:rPr>
        <w:t>PCBs</w:t>
      </w:r>
      <w:proofErr w:type="spellEnd"/>
      <w:r w:rsidRPr="005B0926">
        <w:rPr>
          <w:rFonts w:ascii="Times New Roman" w:hAnsi="Times New Roman"/>
          <w:sz w:val="24"/>
          <w:szCs w:val="24"/>
        </w:rPr>
        <w:t xml:space="preserve">)) passe par une compréhension fine des interactions </w:t>
      </w:r>
      <w:proofErr w:type="spellStart"/>
      <w:r w:rsidRPr="005B0926">
        <w:rPr>
          <w:rFonts w:ascii="Times New Roman" w:hAnsi="Times New Roman"/>
          <w:sz w:val="24"/>
          <w:szCs w:val="24"/>
        </w:rPr>
        <w:t>inter-moléculaires</w:t>
      </w:r>
      <w:proofErr w:type="spellEnd"/>
      <w:r w:rsidRPr="005B0926">
        <w:rPr>
          <w:rFonts w:ascii="Times New Roman" w:hAnsi="Times New Roman"/>
          <w:sz w:val="24"/>
          <w:szCs w:val="24"/>
        </w:rPr>
        <w:t xml:space="preserve"> avec le milieu extérieur. La toxicité des </w:t>
      </w:r>
      <w:proofErr w:type="spellStart"/>
      <w:r w:rsidRPr="005B0926">
        <w:rPr>
          <w:rFonts w:ascii="Times New Roman" w:hAnsi="Times New Roman"/>
          <w:sz w:val="24"/>
          <w:szCs w:val="24"/>
        </w:rPr>
        <w:t>PCBs</w:t>
      </w:r>
      <w:proofErr w:type="spellEnd"/>
      <w:r w:rsidRPr="005B0926">
        <w:rPr>
          <w:rFonts w:ascii="Times New Roman" w:hAnsi="Times New Roman"/>
          <w:sz w:val="24"/>
          <w:szCs w:val="24"/>
        </w:rPr>
        <w:t xml:space="preserve"> a un grand impact sur l'environnement et la santé humaine. Ils  se concentrent mieux  dans les tissus adipeux. La compréhension du processus ou du mécanisme d'action toxicologique à l'échelle du nanomètre (structure moléculaire, réactivité, interaction, …) est un véritable défi à la science qui nécessite une étroite collaboration entre chimistes, biologistes et toxicologues. Les </w:t>
      </w:r>
      <w:proofErr w:type="spellStart"/>
      <w:r w:rsidRPr="005B0926">
        <w:rPr>
          <w:rFonts w:ascii="Times New Roman" w:hAnsi="Times New Roman"/>
          <w:sz w:val="24"/>
          <w:szCs w:val="24"/>
        </w:rPr>
        <w:t>PCBs</w:t>
      </w:r>
      <w:proofErr w:type="spellEnd"/>
      <w:r w:rsidRPr="005B0926">
        <w:rPr>
          <w:rFonts w:ascii="Times New Roman" w:hAnsi="Times New Roman"/>
          <w:sz w:val="24"/>
          <w:szCs w:val="24"/>
        </w:rPr>
        <w:t xml:space="preserve"> sont des composés aromatiques chlorés, 209 d'</w:t>
      </w:r>
      <w:proofErr w:type="spellStart"/>
      <w:r w:rsidRPr="005B0926">
        <w:rPr>
          <w:rFonts w:ascii="Times New Roman" w:hAnsi="Times New Roman"/>
          <w:sz w:val="24"/>
          <w:szCs w:val="24"/>
        </w:rPr>
        <w:t>entre-eux</w:t>
      </w:r>
      <w:proofErr w:type="spellEnd"/>
      <w:r w:rsidRPr="005B0926">
        <w:rPr>
          <w:rFonts w:ascii="Times New Roman" w:hAnsi="Times New Roman"/>
          <w:sz w:val="24"/>
          <w:szCs w:val="24"/>
        </w:rPr>
        <w:t xml:space="preserve">  ont été identifiés. Nous nous intéressé à l'étude  théorique des </w:t>
      </w:r>
      <w:proofErr w:type="spellStart"/>
      <w:r w:rsidRPr="005B0926">
        <w:rPr>
          <w:rFonts w:ascii="Times New Roman" w:hAnsi="Times New Roman"/>
          <w:sz w:val="24"/>
          <w:szCs w:val="24"/>
        </w:rPr>
        <w:t>PCBs</w:t>
      </w:r>
      <w:proofErr w:type="spellEnd"/>
      <w:r w:rsidRPr="005B0926">
        <w:rPr>
          <w:rFonts w:ascii="Times New Roman" w:hAnsi="Times New Roman"/>
          <w:sz w:val="24"/>
          <w:szCs w:val="24"/>
        </w:rPr>
        <w:t xml:space="preserve"> dioxine-</w:t>
      </w:r>
      <w:proofErr w:type="spellStart"/>
      <w:r w:rsidRPr="005B0926">
        <w:rPr>
          <w:rFonts w:ascii="Times New Roman" w:hAnsi="Times New Roman"/>
          <w:sz w:val="24"/>
          <w:szCs w:val="24"/>
        </w:rPr>
        <w:t>like</w:t>
      </w:r>
      <w:proofErr w:type="spellEnd"/>
      <w:r w:rsidRPr="005B0926">
        <w:rPr>
          <w:rFonts w:ascii="Times New Roman" w:hAnsi="Times New Roman"/>
          <w:sz w:val="24"/>
          <w:szCs w:val="24"/>
        </w:rPr>
        <w:t xml:space="preserve"> (PCB-DL) à savoir le PCB77, PCB126 et le PCB169 ayant une structure </w:t>
      </w:r>
    </w:p>
    <w:p w:rsidR="005B0926" w:rsidRPr="005B0926" w:rsidRDefault="005B0926" w:rsidP="005B0926">
      <w:pPr>
        <w:jc w:val="both"/>
        <w:rPr>
          <w:rFonts w:ascii="Times New Roman" w:hAnsi="Times New Roman"/>
          <w:sz w:val="24"/>
          <w:szCs w:val="24"/>
        </w:rPr>
      </w:pPr>
      <w:r w:rsidRPr="005B0926">
        <w:rPr>
          <w:rFonts w:ascii="Times New Roman" w:hAnsi="Times New Roman"/>
          <w:sz w:val="24"/>
          <w:szCs w:val="24"/>
        </w:rPr>
        <w:t>proche à la dioxine (2</w:t>
      </w:r>
      <w:proofErr w:type="gramStart"/>
      <w:r w:rsidRPr="005B0926">
        <w:rPr>
          <w:rFonts w:ascii="Times New Roman" w:hAnsi="Times New Roman"/>
          <w:sz w:val="24"/>
          <w:szCs w:val="24"/>
        </w:rPr>
        <w:t>,3,7,8</w:t>
      </w:r>
      <w:proofErr w:type="gramEnd"/>
      <w:r w:rsidRPr="005B0926">
        <w:rPr>
          <w:rFonts w:ascii="Times New Roman" w:hAnsi="Times New Roman"/>
          <w:sz w:val="24"/>
          <w:szCs w:val="24"/>
        </w:rPr>
        <w:t xml:space="preserve">-TCDD), et leurs comportements vis-à-vis du milieu biologique. Les </w:t>
      </w:r>
      <w:proofErr w:type="spellStart"/>
      <w:r w:rsidRPr="005B0926">
        <w:rPr>
          <w:rFonts w:ascii="Times New Roman" w:hAnsi="Times New Roman"/>
          <w:sz w:val="24"/>
          <w:szCs w:val="24"/>
        </w:rPr>
        <w:t>PCBs</w:t>
      </w:r>
      <w:proofErr w:type="spellEnd"/>
      <w:r w:rsidRPr="005B0926">
        <w:rPr>
          <w:rFonts w:ascii="Times New Roman" w:hAnsi="Times New Roman"/>
          <w:sz w:val="24"/>
          <w:szCs w:val="24"/>
        </w:rPr>
        <w:t>-DL</w:t>
      </w:r>
      <w:r>
        <w:rPr>
          <w:rFonts w:ascii="Times New Roman" w:hAnsi="Times New Roman"/>
          <w:sz w:val="24"/>
          <w:szCs w:val="24"/>
        </w:rPr>
        <w:t xml:space="preserve"> </w:t>
      </w:r>
      <w:r w:rsidRPr="005B0926">
        <w:rPr>
          <w:rFonts w:ascii="Times New Roman" w:hAnsi="Times New Roman"/>
          <w:sz w:val="24"/>
          <w:szCs w:val="24"/>
        </w:rPr>
        <w:t xml:space="preserve">étudiés dans ce travail ont l'ADN pour cible supposée ou prouvée.  </w:t>
      </w:r>
    </w:p>
    <w:p w:rsidR="005B0926" w:rsidRPr="005B0926" w:rsidRDefault="005B0926" w:rsidP="005B0926">
      <w:pPr>
        <w:jc w:val="both"/>
        <w:rPr>
          <w:rFonts w:ascii="Times New Roman" w:hAnsi="Times New Roman"/>
          <w:sz w:val="24"/>
          <w:szCs w:val="24"/>
        </w:rPr>
      </w:pPr>
      <w:r w:rsidRPr="005B0926">
        <w:rPr>
          <w:rFonts w:ascii="Times New Roman" w:hAnsi="Times New Roman"/>
          <w:sz w:val="24"/>
          <w:szCs w:val="24"/>
        </w:rPr>
        <w:t xml:space="preserve">  Les travaux présentés dans ce manuscrit sont axés selon trois thématiques principales, ayant pour objectif commun l'interaction intermoléculaire entre les PCB-DL et les bases nucléiques présentes dans la double hélice de l'ADN. Il s'agit tout d'abord de comprendre d'une manière générale, les propriétés électroniques, énergétiques et structurales des PCB-DL et les descripteurs qui ont découlent (le potentiel chimique, la dureté</w:t>
      </w:r>
      <w:r>
        <w:rPr>
          <w:rFonts w:ascii="Times New Roman" w:hAnsi="Times New Roman"/>
          <w:sz w:val="24"/>
          <w:szCs w:val="24"/>
        </w:rPr>
        <w:t xml:space="preserve"> </w:t>
      </w:r>
      <w:r w:rsidRPr="005B0926">
        <w:rPr>
          <w:rFonts w:ascii="Times New Roman" w:hAnsi="Times New Roman"/>
          <w:sz w:val="24"/>
          <w:szCs w:val="24"/>
        </w:rPr>
        <w:t>chimique et l'</w:t>
      </w:r>
      <w:proofErr w:type="spellStart"/>
      <w:r w:rsidRPr="005B0926">
        <w:rPr>
          <w:rFonts w:ascii="Times New Roman" w:hAnsi="Times New Roman"/>
          <w:sz w:val="24"/>
          <w:szCs w:val="24"/>
        </w:rPr>
        <w:t>électrophilie</w:t>
      </w:r>
      <w:proofErr w:type="spellEnd"/>
      <w:r w:rsidRPr="005B0926">
        <w:rPr>
          <w:rFonts w:ascii="Times New Roman" w:hAnsi="Times New Roman"/>
          <w:sz w:val="24"/>
          <w:szCs w:val="24"/>
        </w:rPr>
        <w:t xml:space="preserve">) en utilisant la méthode  DFT avec la fonctionnelle B3LYP/6-31+G(d). Les géométries optimisées seront par la suite utilisées pour l'étude des interactions intermoléculaires entre les </w:t>
      </w:r>
      <w:proofErr w:type="spellStart"/>
      <w:r w:rsidRPr="005B0926">
        <w:rPr>
          <w:rFonts w:ascii="Times New Roman" w:hAnsi="Times New Roman"/>
          <w:sz w:val="24"/>
          <w:szCs w:val="24"/>
        </w:rPr>
        <w:t>xénobiotiques</w:t>
      </w:r>
      <w:proofErr w:type="spellEnd"/>
      <w:r w:rsidRPr="005B0926">
        <w:rPr>
          <w:rFonts w:ascii="Times New Roman" w:hAnsi="Times New Roman"/>
          <w:sz w:val="24"/>
          <w:szCs w:val="24"/>
        </w:rPr>
        <w:t xml:space="preserve"> et les bases azotées (Adénine, Thymine, Cytosine et Guanine)  aux trois niveaux de théories DFT (SVWN/6-311++</w:t>
      </w:r>
      <w:proofErr w:type="gramStart"/>
      <w:r w:rsidRPr="005B0926">
        <w:rPr>
          <w:rFonts w:ascii="Times New Roman" w:hAnsi="Times New Roman"/>
          <w:sz w:val="24"/>
          <w:szCs w:val="24"/>
        </w:rPr>
        <w:t>G(</w:t>
      </w:r>
      <w:proofErr w:type="spellStart"/>
      <w:proofErr w:type="gramEnd"/>
      <w:r w:rsidRPr="005B0926">
        <w:rPr>
          <w:rFonts w:ascii="Times New Roman" w:hAnsi="Times New Roman"/>
          <w:sz w:val="24"/>
          <w:szCs w:val="24"/>
        </w:rPr>
        <w:t>d,p</w:t>
      </w:r>
      <w:proofErr w:type="spellEnd"/>
      <w:r w:rsidRPr="005B0926">
        <w:rPr>
          <w:rFonts w:ascii="Times New Roman" w:hAnsi="Times New Roman"/>
          <w:sz w:val="24"/>
          <w:szCs w:val="24"/>
        </w:rPr>
        <w:t>)), DFT (B3LYP-D/6-311++G(</w:t>
      </w:r>
      <w:proofErr w:type="spellStart"/>
      <w:r w:rsidRPr="005B0926">
        <w:rPr>
          <w:rFonts w:ascii="Times New Roman" w:hAnsi="Times New Roman"/>
          <w:sz w:val="24"/>
          <w:szCs w:val="24"/>
        </w:rPr>
        <w:t>d,p</w:t>
      </w:r>
      <w:proofErr w:type="spellEnd"/>
      <w:r w:rsidRPr="005B0926">
        <w:rPr>
          <w:rFonts w:ascii="Times New Roman" w:hAnsi="Times New Roman"/>
          <w:sz w:val="24"/>
          <w:szCs w:val="24"/>
        </w:rPr>
        <w:t xml:space="preserve">)),  et MP2/6-31G(d). Les résultats obtenus révèlent que la méthode DFT traite bien les interactions ?-? </w:t>
      </w:r>
      <w:proofErr w:type="spellStart"/>
      <w:proofErr w:type="gramStart"/>
      <w:r w:rsidRPr="005B0926">
        <w:rPr>
          <w:rFonts w:ascii="Times New Roman" w:hAnsi="Times New Roman"/>
          <w:sz w:val="24"/>
          <w:szCs w:val="24"/>
        </w:rPr>
        <w:t>stacking</w:t>
      </w:r>
      <w:proofErr w:type="spellEnd"/>
      <w:proofErr w:type="gramEnd"/>
      <w:r w:rsidRPr="005B0926">
        <w:rPr>
          <w:rFonts w:ascii="Times New Roman" w:hAnsi="Times New Roman"/>
          <w:sz w:val="24"/>
          <w:szCs w:val="24"/>
        </w:rPr>
        <w:t xml:space="preserve">, et que les </w:t>
      </w:r>
      <w:proofErr w:type="spellStart"/>
      <w:r w:rsidRPr="005B0926">
        <w:rPr>
          <w:rFonts w:ascii="Times New Roman" w:hAnsi="Times New Roman"/>
          <w:sz w:val="24"/>
          <w:szCs w:val="24"/>
        </w:rPr>
        <w:t>PCBs</w:t>
      </w:r>
      <w:proofErr w:type="spellEnd"/>
      <w:r w:rsidRPr="005B0926">
        <w:rPr>
          <w:rFonts w:ascii="Times New Roman" w:hAnsi="Times New Roman"/>
          <w:sz w:val="24"/>
          <w:szCs w:val="24"/>
        </w:rPr>
        <w:t xml:space="preserve"> ont une grande affinité vis-à-vis de la guanine et </w:t>
      </w:r>
      <w:r w:rsidRPr="005B0926">
        <w:rPr>
          <w:rFonts w:ascii="Times New Roman" w:hAnsi="Times New Roman"/>
          <w:sz w:val="24"/>
          <w:szCs w:val="24"/>
        </w:rPr>
        <w:lastRenderedPageBreak/>
        <w:t>cytosine avec plus grande énergie d'interaction que l'énergie de l'</w:t>
      </w:r>
      <w:proofErr w:type="spellStart"/>
      <w:r w:rsidRPr="005B0926">
        <w:rPr>
          <w:rFonts w:ascii="Times New Roman" w:hAnsi="Times New Roman"/>
          <w:sz w:val="24"/>
          <w:szCs w:val="24"/>
        </w:rPr>
        <w:t>adénineet</w:t>
      </w:r>
      <w:proofErr w:type="spellEnd"/>
      <w:r w:rsidRPr="005B0926">
        <w:rPr>
          <w:rFonts w:ascii="Times New Roman" w:hAnsi="Times New Roman"/>
          <w:sz w:val="24"/>
          <w:szCs w:val="24"/>
        </w:rPr>
        <w:t xml:space="preserve"> thymine ceci est expliqué par la large dispersion y présente. La méthode DFT a peu surestimé ces </w:t>
      </w:r>
      <w:proofErr w:type="spellStart"/>
      <w:r w:rsidRPr="005B0926">
        <w:rPr>
          <w:rFonts w:ascii="Times New Roman" w:hAnsi="Times New Roman"/>
          <w:sz w:val="24"/>
          <w:szCs w:val="24"/>
        </w:rPr>
        <w:t>énergiesd'interactions</w:t>
      </w:r>
      <w:proofErr w:type="spellEnd"/>
      <w:r w:rsidRPr="005B0926">
        <w:rPr>
          <w:rFonts w:ascii="Times New Roman" w:hAnsi="Times New Roman"/>
          <w:sz w:val="24"/>
          <w:szCs w:val="24"/>
        </w:rPr>
        <w:t xml:space="preserve"> par rapport aux deux autres approches ceci est dû à la base choisie de la méthode MP2.</w:t>
      </w:r>
    </w:p>
    <w:p w:rsidR="00BA2E19" w:rsidRPr="005B0926" w:rsidRDefault="005B0926" w:rsidP="005B0926">
      <w:pPr>
        <w:rPr>
          <w:rtl/>
        </w:rPr>
      </w:pPr>
      <w:r w:rsidRPr="005B0926">
        <w:rPr>
          <w:rFonts w:ascii="Times New Roman" w:hAnsi="Times New Roman"/>
          <w:sz w:val="24"/>
          <w:szCs w:val="24"/>
        </w:rPr>
        <w:t xml:space="preserve">  </w:t>
      </w:r>
    </w:p>
    <w:sectPr w:rsidR="00BA2E19" w:rsidRPr="005B0926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1E5C28"/>
    <w:multiLevelType w:val="hybridMultilevel"/>
    <w:tmpl w:val="AD1A5438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E3A3B"/>
    <w:rsid w:val="000F7A67"/>
    <w:rsid w:val="001A0B89"/>
    <w:rsid w:val="002214A4"/>
    <w:rsid w:val="002701CD"/>
    <w:rsid w:val="00280B15"/>
    <w:rsid w:val="002C3E8D"/>
    <w:rsid w:val="0031162A"/>
    <w:rsid w:val="00311E08"/>
    <w:rsid w:val="00321F52"/>
    <w:rsid w:val="00331277"/>
    <w:rsid w:val="00334D8A"/>
    <w:rsid w:val="0034258A"/>
    <w:rsid w:val="003A796B"/>
    <w:rsid w:val="003D2F35"/>
    <w:rsid w:val="003E69F6"/>
    <w:rsid w:val="003F310A"/>
    <w:rsid w:val="00426714"/>
    <w:rsid w:val="00434F66"/>
    <w:rsid w:val="00491D7D"/>
    <w:rsid w:val="004D4A4F"/>
    <w:rsid w:val="004D6F79"/>
    <w:rsid w:val="00521727"/>
    <w:rsid w:val="00523A64"/>
    <w:rsid w:val="00565AA9"/>
    <w:rsid w:val="00573BFD"/>
    <w:rsid w:val="005854F9"/>
    <w:rsid w:val="005B0926"/>
    <w:rsid w:val="005B6953"/>
    <w:rsid w:val="005F22D0"/>
    <w:rsid w:val="005F47AF"/>
    <w:rsid w:val="0062768E"/>
    <w:rsid w:val="00637238"/>
    <w:rsid w:val="0067011E"/>
    <w:rsid w:val="006704C5"/>
    <w:rsid w:val="006C36A5"/>
    <w:rsid w:val="007410E4"/>
    <w:rsid w:val="00751822"/>
    <w:rsid w:val="00753AE2"/>
    <w:rsid w:val="00767D68"/>
    <w:rsid w:val="007A7F5D"/>
    <w:rsid w:val="007B11D7"/>
    <w:rsid w:val="0080117F"/>
    <w:rsid w:val="00864C32"/>
    <w:rsid w:val="00893F32"/>
    <w:rsid w:val="00906711"/>
    <w:rsid w:val="009B4078"/>
    <w:rsid w:val="009C0E77"/>
    <w:rsid w:val="009D0F83"/>
    <w:rsid w:val="009E217B"/>
    <w:rsid w:val="009E33B6"/>
    <w:rsid w:val="00A53F06"/>
    <w:rsid w:val="00A555F6"/>
    <w:rsid w:val="00A942A1"/>
    <w:rsid w:val="00AA61CD"/>
    <w:rsid w:val="00AB29CA"/>
    <w:rsid w:val="00AB5276"/>
    <w:rsid w:val="00AD52D6"/>
    <w:rsid w:val="00AE1983"/>
    <w:rsid w:val="00AE4A8A"/>
    <w:rsid w:val="00B23BE0"/>
    <w:rsid w:val="00B3099D"/>
    <w:rsid w:val="00B41A24"/>
    <w:rsid w:val="00B60D2E"/>
    <w:rsid w:val="00B64118"/>
    <w:rsid w:val="00B705B7"/>
    <w:rsid w:val="00B756B6"/>
    <w:rsid w:val="00B86F28"/>
    <w:rsid w:val="00BA2E19"/>
    <w:rsid w:val="00BA3A1F"/>
    <w:rsid w:val="00BC5AE1"/>
    <w:rsid w:val="00C038B1"/>
    <w:rsid w:val="00C06CA0"/>
    <w:rsid w:val="00C26198"/>
    <w:rsid w:val="00C431AD"/>
    <w:rsid w:val="00C51DB2"/>
    <w:rsid w:val="00C562C6"/>
    <w:rsid w:val="00C5687E"/>
    <w:rsid w:val="00CC0B8B"/>
    <w:rsid w:val="00CC4896"/>
    <w:rsid w:val="00CE63AF"/>
    <w:rsid w:val="00CF2D39"/>
    <w:rsid w:val="00D10B15"/>
    <w:rsid w:val="00D50979"/>
    <w:rsid w:val="00D601D7"/>
    <w:rsid w:val="00E412C7"/>
    <w:rsid w:val="00E6735E"/>
    <w:rsid w:val="00E904AD"/>
    <w:rsid w:val="00EB052E"/>
    <w:rsid w:val="00F13A56"/>
    <w:rsid w:val="00F323BA"/>
    <w:rsid w:val="00F64452"/>
    <w:rsid w:val="00F74862"/>
    <w:rsid w:val="00F92273"/>
    <w:rsid w:val="00F9438B"/>
    <w:rsid w:val="00FB34D4"/>
    <w:rsid w:val="00FC6982"/>
    <w:rsid w:val="00FF0F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0E4"/>
    <w:pPr>
      <w:spacing w:after="0" w:line="480" w:lineRule="auto"/>
      <w:jc w:val="center"/>
    </w:pPr>
    <w:rPr>
      <w:rFonts w:ascii="Calibri" w:eastAsia="Calibri" w:hAnsi="Calibri" w:cs="Arial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3099D"/>
    <w:pPr>
      <w:bidi/>
      <w:spacing w:line="240" w:lineRule="auto"/>
      <w:jc w:val="left"/>
    </w:pPr>
    <w:rPr>
      <w:rFonts w:ascii="Tahoma" w:eastAsiaTheme="minorHAnsi" w:hAnsi="Tahoma" w:cs="Tahoma"/>
      <w:sz w:val="16"/>
      <w:szCs w:val="16"/>
      <w:lang w:val="en-US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3099D"/>
    <w:rPr>
      <w:rFonts w:ascii="Tahoma" w:hAnsi="Tahoma" w:cs="Tahoma"/>
      <w:sz w:val="16"/>
      <w:szCs w:val="16"/>
    </w:rPr>
  </w:style>
  <w:style w:type="paragraph" w:styleId="Corpsdetexte">
    <w:name w:val="Body Text"/>
    <w:basedOn w:val="Normal"/>
    <w:link w:val="CorpsdetexteCar"/>
    <w:semiHidden/>
    <w:rsid w:val="00FC6982"/>
    <w:pPr>
      <w:spacing w:line="360" w:lineRule="auto"/>
      <w:jc w:val="both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CorpsdetexteCar">
    <w:name w:val="Corps de texte Car"/>
    <w:basedOn w:val="Policepardfaut"/>
    <w:link w:val="Corpsdetexte"/>
    <w:semiHidden/>
    <w:rsid w:val="00FC6982"/>
    <w:rPr>
      <w:rFonts w:ascii="Times New Roman" w:eastAsia="Times New Roman" w:hAnsi="Times New Roman" w:cs="Times New Roman"/>
      <w:sz w:val="24"/>
      <w:szCs w:val="24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1081</TotalTime>
  <Pages>2</Pages>
  <Words>338</Words>
  <Characters>1932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93</cp:revision>
  <dcterms:created xsi:type="dcterms:W3CDTF">2014-12-07T11:07:00Z</dcterms:created>
  <dcterms:modified xsi:type="dcterms:W3CDTF">2014-12-15T14:04:00Z</dcterms:modified>
</cp:coreProperties>
</file>