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26" w:rsidRPr="005B0926" w:rsidRDefault="005B0926" w:rsidP="005B0926">
      <w:pPr>
        <w:jc w:val="both"/>
        <w:rPr>
          <w:rFonts w:ascii="Times New Roman" w:hAnsi="Times New Roman"/>
          <w:sz w:val="24"/>
          <w:szCs w:val="24"/>
        </w:rPr>
      </w:pPr>
      <w:r w:rsidRPr="005B0926">
        <w:rPr>
          <w:rFonts w:ascii="Times New Roman" w:hAnsi="Times New Roman"/>
          <w:sz w:val="24"/>
          <w:szCs w:val="24"/>
        </w:rPr>
        <w:t xml:space="preserve">La connaissance des propriétés structurales et physico-chimiques des </w:t>
      </w:r>
      <w:proofErr w:type="spellStart"/>
      <w:r w:rsidRPr="005B0926">
        <w:rPr>
          <w:rFonts w:ascii="Times New Roman" w:hAnsi="Times New Roman"/>
          <w:sz w:val="24"/>
          <w:szCs w:val="24"/>
        </w:rPr>
        <w:t>xénobiotiques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</w:t>
      </w:r>
    </w:p>
    <w:p w:rsidR="005B0926" w:rsidRPr="005B0926" w:rsidRDefault="005B0926" w:rsidP="005B0926">
      <w:pPr>
        <w:jc w:val="both"/>
        <w:rPr>
          <w:rFonts w:ascii="Times New Roman" w:hAnsi="Times New Roman"/>
          <w:sz w:val="24"/>
          <w:szCs w:val="24"/>
        </w:rPr>
      </w:pPr>
      <w:r w:rsidRPr="005B0926">
        <w:rPr>
          <w:rFonts w:ascii="Times New Roman" w:hAnsi="Times New Roman"/>
          <w:sz w:val="24"/>
          <w:szCs w:val="24"/>
        </w:rPr>
        <w:t>(</w:t>
      </w:r>
      <w:proofErr w:type="gramStart"/>
      <w:r w:rsidRPr="005B0926">
        <w:rPr>
          <w:rFonts w:ascii="Times New Roman" w:hAnsi="Times New Roman"/>
          <w:sz w:val="24"/>
          <w:szCs w:val="24"/>
        </w:rPr>
        <w:t>les</w:t>
      </w:r>
      <w:proofErr w:type="gramEnd"/>
      <w:r w:rsidRPr="005B0926">
        <w:rPr>
          <w:rFonts w:ascii="Times New Roman" w:hAnsi="Times New Roman"/>
          <w:sz w:val="24"/>
          <w:szCs w:val="24"/>
        </w:rPr>
        <w:t xml:space="preserve"> polychlorobiphényles (</w:t>
      </w:r>
      <w:proofErr w:type="spellStart"/>
      <w:r w:rsidRPr="005B0926">
        <w:rPr>
          <w:rFonts w:ascii="Times New Roman" w:hAnsi="Times New Roman"/>
          <w:sz w:val="24"/>
          <w:szCs w:val="24"/>
        </w:rPr>
        <w:t>PCBs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)) passe par une compréhension fine des interactions </w:t>
      </w:r>
      <w:proofErr w:type="spellStart"/>
      <w:r w:rsidRPr="005B0926">
        <w:rPr>
          <w:rFonts w:ascii="Times New Roman" w:hAnsi="Times New Roman"/>
          <w:sz w:val="24"/>
          <w:szCs w:val="24"/>
        </w:rPr>
        <w:t>inter-moléculaires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avec le milieu extérieur. La toxicité des </w:t>
      </w:r>
      <w:proofErr w:type="spellStart"/>
      <w:r w:rsidRPr="005B0926">
        <w:rPr>
          <w:rFonts w:ascii="Times New Roman" w:hAnsi="Times New Roman"/>
          <w:sz w:val="24"/>
          <w:szCs w:val="24"/>
        </w:rPr>
        <w:t>PCBs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a un grand impact sur l'environnement et la santé humaine. Ils  se concentrent mieux  dans les tissus adipeux. La compréhension du processus ou du mécanisme d'action toxicologique à l'échelle du nanomètre (structure moléculaire, réactivité, interaction, …) est un véritable défi à la science qui nécessite une étroite collaboration entre chimistes, biologistes et toxicologues. Les </w:t>
      </w:r>
      <w:proofErr w:type="spellStart"/>
      <w:r w:rsidRPr="005B0926">
        <w:rPr>
          <w:rFonts w:ascii="Times New Roman" w:hAnsi="Times New Roman"/>
          <w:sz w:val="24"/>
          <w:szCs w:val="24"/>
        </w:rPr>
        <w:t>PCBs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sont des composés aromatiques chlorés, 209 d'</w:t>
      </w:r>
      <w:proofErr w:type="spellStart"/>
      <w:r w:rsidRPr="005B0926">
        <w:rPr>
          <w:rFonts w:ascii="Times New Roman" w:hAnsi="Times New Roman"/>
          <w:sz w:val="24"/>
          <w:szCs w:val="24"/>
        </w:rPr>
        <w:t>entre-eux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 ont été identifiés. Nous nous intéressé à l'étude  théorique des </w:t>
      </w:r>
      <w:proofErr w:type="spellStart"/>
      <w:r w:rsidRPr="005B0926">
        <w:rPr>
          <w:rFonts w:ascii="Times New Roman" w:hAnsi="Times New Roman"/>
          <w:sz w:val="24"/>
          <w:szCs w:val="24"/>
        </w:rPr>
        <w:t>PCBs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dioxine-</w:t>
      </w:r>
      <w:proofErr w:type="spellStart"/>
      <w:r w:rsidRPr="005B0926">
        <w:rPr>
          <w:rFonts w:ascii="Times New Roman" w:hAnsi="Times New Roman"/>
          <w:sz w:val="24"/>
          <w:szCs w:val="24"/>
        </w:rPr>
        <w:t>like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(PCB-DL) à savoir le PCB77, PCB126 et le PCB169 ayant une structure </w:t>
      </w:r>
    </w:p>
    <w:p w:rsidR="005B0926" w:rsidRPr="005B0926" w:rsidRDefault="005B0926" w:rsidP="005B0926">
      <w:pPr>
        <w:jc w:val="both"/>
        <w:rPr>
          <w:rFonts w:ascii="Times New Roman" w:hAnsi="Times New Roman"/>
          <w:sz w:val="24"/>
          <w:szCs w:val="24"/>
        </w:rPr>
      </w:pPr>
      <w:r w:rsidRPr="005B0926">
        <w:rPr>
          <w:rFonts w:ascii="Times New Roman" w:hAnsi="Times New Roman"/>
          <w:sz w:val="24"/>
          <w:szCs w:val="24"/>
        </w:rPr>
        <w:t>proche à la dioxine (2</w:t>
      </w:r>
      <w:proofErr w:type="gramStart"/>
      <w:r w:rsidRPr="005B0926">
        <w:rPr>
          <w:rFonts w:ascii="Times New Roman" w:hAnsi="Times New Roman"/>
          <w:sz w:val="24"/>
          <w:szCs w:val="24"/>
        </w:rPr>
        <w:t>,3,7,8</w:t>
      </w:r>
      <w:proofErr w:type="gramEnd"/>
      <w:r w:rsidRPr="005B0926">
        <w:rPr>
          <w:rFonts w:ascii="Times New Roman" w:hAnsi="Times New Roman"/>
          <w:sz w:val="24"/>
          <w:szCs w:val="24"/>
        </w:rPr>
        <w:t xml:space="preserve">-TCDD), et leurs comportements vis-à-vis du milieu biologique. Les </w:t>
      </w:r>
      <w:proofErr w:type="spellStart"/>
      <w:r w:rsidRPr="005B0926">
        <w:rPr>
          <w:rFonts w:ascii="Times New Roman" w:hAnsi="Times New Roman"/>
          <w:sz w:val="24"/>
          <w:szCs w:val="24"/>
        </w:rPr>
        <w:t>PCBs</w:t>
      </w:r>
      <w:proofErr w:type="spellEnd"/>
      <w:r w:rsidRPr="005B0926">
        <w:rPr>
          <w:rFonts w:ascii="Times New Roman" w:hAnsi="Times New Roman"/>
          <w:sz w:val="24"/>
          <w:szCs w:val="24"/>
        </w:rPr>
        <w:t>-DL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926">
        <w:rPr>
          <w:rFonts w:ascii="Times New Roman" w:hAnsi="Times New Roman"/>
          <w:sz w:val="24"/>
          <w:szCs w:val="24"/>
        </w:rPr>
        <w:t xml:space="preserve">étudiés dans ce travail ont l'ADN pour cible supposée ou prouvée.  </w:t>
      </w:r>
    </w:p>
    <w:p w:rsidR="005B0926" w:rsidRPr="005B0926" w:rsidRDefault="005B0926" w:rsidP="005B0926">
      <w:pPr>
        <w:jc w:val="both"/>
        <w:rPr>
          <w:rFonts w:ascii="Times New Roman" w:hAnsi="Times New Roman"/>
          <w:sz w:val="24"/>
          <w:szCs w:val="24"/>
        </w:rPr>
      </w:pPr>
      <w:r w:rsidRPr="005B0926">
        <w:rPr>
          <w:rFonts w:ascii="Times New Roman" w:hAnsi="Times New Roman"/>
          <w:sz w:val="24"/>
          <w:szCs w:val="24"/>
        </w:rPr>
        <w:t xml:space="preserve">  Les travaux présentés dans ce manuscrit sont axés selon trois thématiques principales, ayant pour objectif commun l'interaction intermoléculaire entre les PCB-DL et les bases nucléiques présentes dans la double hélice de l'ADN. Il s'agit tout d'abord de comprendre d'une manière générale, les propriétés électroniques, énergétiques et structurales des PCB-DL et les descripteurs qui ont découlent (le potentiel chimique, la dureté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0926">
        <w:rPr>
          <w:rFonts w:ascii="Times New Roman" w:hAnsi="Times New Roman"/>
          <w:sz w:val="24"/>
          <w:szCs w:val="24"/>
        </w:rPr>
        <w:t>chimique et l'</w:t>
      </w:r>
      <w:proofErr w:type="spellStart"/>
      <w:r w:rsidRPr="005B0926">
        <w:rPr>
          <w:rFonts w:ascii="Times New Roman" w:hAnsi="Times New Roman"/>
          <w:sz w:val="24"/>
          <w:szCs w:val="24"/>
        </w:rPr>
        <w:t>électrophilie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) en utilisant la méthode  DFT avec la fonctionnelle B3LYP/6-31+G(d). Les géométries optimisées seront par la suite utilisées pour l'étude des interactions intermoléculaires entre les </w:t>
      </w:r>
      <w:proofErr w:type="spellStart"/>
      <w:r w:rsidRPr="005B0926">
        <w:rPr>
          <w:rFonts w:ascii="Times New Roman" w:hAnsi="Times New Roman"/>
          <w:sz w:val="24"/>
          <w:szCs w:val="24"/>
        </w:rPr>
        <w:t>xénobiotiques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et les bases azotées (Adénine, Thymine, Cytosine et Guanine)  aux trois niveaux de théories DFT (SVWN/6-311++</w:t>
      </w:r>
      <w:proofErr w:type="gramStart"/>
      <w:r w:rsidRPr="005B0926">
        <w:rPr>
          <w:rFonts w:ascii="Times New Roman" w:hAnsi="Times New Roman"/>
          <w:sz w:val="24"/>
          <w:szCs w:val="24"/>
        </w:rPr>
        <w:t>G(</w:t>
      </w:r>
      <w:proofErr w:type="spellStart"/>
      <w:proofErr w:type="gramEnd"/>
      <w:r w:rsidRPr="005B0926">
        <w:rPr>
          <w:rFonts w:ascii="Times New Roman" w:hAnsi="Times New Roman"/>
          <w:sz w:val="24"/>
          <w:szCs w:val="24"/>
        </w:rPr>
        <w:t>d,p</w:t>
      </w:r>
      <w:proofErr w:type="spellEnd"/>
      <w:r w:rsidRPr="005B0926">
        <w:rPr>
          <w:rFonts w:ascii="Times New Roman" w:hAnsi="Times New Roman"/>
          <w:sz w:val="24"/>
          <w:szCs w:val="24"/>
        </w:rPr>
        <w:t>)), DFT (B3LYP-D/6-311++G(</w:t>
      </w:r>
      <w:proofErr w:type="spellStart"/>
      <w:r w:rsidRPr="005B0926">
        <w:rPr>
          <w:rFonts w:ascii="Times New Roman" w:hAnsi="Times New Roman"/>
          <w:sz w:val="24"/>
          <w:szCs w:val="24"/>
        </w:rPr>
        <w:t>d,p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)),  et MP2/6-31G(d). Les résultats obtenus révèlent que la méthode DFT traite bien les interactions ?-? </w:t>
      </w:r>
      <w:proofErr w:type="spellStart"/>
      <w:proofErr w:type="gramStart"/>
      <w:r w:rsidRPr="005B0926">
        <w:rPr>
          <w:rFonts w:ascii="Times New Roman" w:hAnsi="Times New Roman"/>
          <w:sz w:val="24"/>
          <w:szCs w:val="24"/>
        </w:rPr>
        <w:t>stacking</w:t>
      </w:r>
      <w:proofErr w:type="spellEnd"/>
      <w:proofErr w:type="gramEnd"/>
      <w:r w:rsidRPr="005B0926">
        <w:rPr>
          <w:rFonts w:ascii="Times New Roman" w:hAnsi="Times New Roman"/>
          <w:sz w:val="24"/>
          <w:szCs w:val="24"/>
        </w:rPr>
        <w:t xml:space="preserve">, et que les </w:t>
      </w:r>
      <w:proofErr w:type="spellStart"/>
      <w:r w:rsidRPr="005B0926">
        <w:rPr>
          <w:rFonts w:ascii="Times New Roman" w:hAnsi="Times New Roman"/>
          <w:sz w:val="24"/>
          <w:szCs w:val="24"/>
        </w:rPr>
        <w:t>PCBs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ont une grande affinité vis-à-vis de la guanine et </w:t>
      </w:r>
      <w:r w:rsidRPr="005B0926">
        <w:rPr>
          <w:rFonts w:ascii="Times New Roman" w:hAnsi="Times New Roman"/>
          <w:sz w:val="24"/>
          <w:szCs w:val="24"/>
        </w:rPr>
        <w:lastRenderedPageBreak/>
        <w:t>cytosine avec plus grande énergie d'interaction que l'énergie de l'</w:t>
      </w:r>
      <w:proofErr w:type="spellStart"/>
      <w:r w:rsidRPr="005B0926">
        <w:rPr>
          <w:rFonts w:ascii="Times New Roman" w:hAnsi="Times New Roman"/>
          <w:sz w:val="24"/>
          <w:szCs w:val="24"/>
        </w:rPr>
        <w:t>adénineet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thymine ceci est expliqué par la large dispersion y présente. La méthode DFT a peu surestimé ces </w:t>
      </w:r>
      <w:proofErr w:type="spellStart"/>
      <w:r w:rsidRPr="005B0926">
        <w:rPr>
          <w:rFonts w:ascii="Times New Roman" w:hAnsi="Times New Roman"/>
          <w:sz w:val="24"/>
          <w:szCs w:val="24"/>
        </w:rPr>
        <w:t>énergiesd'interactions</w:t>
      </w:r>
      <w:proofErr w:type="spellEnd"/>
      <w:r w:rsidRPr="005B0926">
        <w:rPr>
          <w:rFonts w:ascii="Times New Roman" w:hAnsi="Times New Roman"/>
          <w:sz w:val="24"/>
          <w:szCs w:val="24"/>
        </w:rPr>
        <w:t xml:space="preserve"> par rapport aux deux autres approches ceci est dû à la base choisie de la méthode MP2.</w:t>
      </w:r>
    </w:p>
    <w:p w:rsidR="00BA2E19" w:rsidRPr="005B0926" w:rsidRDefault="005B0926" w:rsidP="005B0926">
      <w:pPr>
        <w:rPr>
          <w:rtl/>
        </w:rPr>
      </w:pPr>
      <w:r w:rsidRPr="005B0926">
        <w:rPr>
          <w:rFonts w:ascii="Times New Roman" w:hAnsi="Times New Roman"/>
          <w:sz w:val="24"/>
          <w:szCs w:val="24"/>
        </w:rPr>
        <w:t xml:space="preserve">  </w:t>
      </w:r>
    </w:p>
    <w:sectPr w:rsidR="00BA2E19" w:rsidRPr="005B092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A0B89"/>
    <w:rsid w:val="002214A4"/>
    <w:rsid w:val="002701CD"/>
    <w:rsid w:val="00280B15"/>
    <w:rsid w:val="002C3E8D"/>
    <w:rsid w:val="0031162A"/>
    <w:rsid w:val="00311E08"/>
    <w:rsid w:val="00321F52"/>
    <w:rsid w:val="00331277"/>
    <w:rsid w:val="00334D8A"/>
    <w:rsid w:val="0034258A"/>
    <w:rsid w:val="003A796B"/>
    <w:rsid w:val="003D2F35"/>
    <w:rsid w:val="003E69F6"/>
    <w:rsid w:val="003F310A"/>
    <w:rsid w:val="00426714"/>
    <w:rsid w:val="00434F66"/>
    <w:rsid w:val="00491D7D"/>
    <w:rsid w:val="004D4A4F"/>
    <w:rsid w:val="004D6F79"/>
    <w:rsid w:val="00521727"/>
    <w:rsid w:val="00523A64"/>
    <w:rsid w:val="00565AA9"/>
    <w:rsid w:val="00573BFD"/>
    <w:rsid w:val="005854F9"/>
    <w:rsid w:val="005B0926"/>
    <w:rsid w:val="005B6953"/>
    <w:rsid w:val="005F22D0"/>
    <w:rsid w:val="005F47AF"/>
    <w:rsid w:val="0062768E"/>
    <w:rsid w:val="00637238"/>
    <w:rsid w:val="0067011E"/>
    <w:rsid w:val="006704C5"/>
    <w:rsid w:val="006C36A5"/>
    <w:rsid w:val="007410E4"/>
    <w:rsid w:val="00751822"/>
    <w:rsid w:val="00753AE2"/>
    <w:rsid w:val="00767D68"/>
    <w:rsid w:val="007A7F5D"/>
    <w:rsid w:val="007B11D7"/>
    <w:rsid w:val="0080117F"/>
    <w:rsid w:val="00864C32"/>
    <w:rsid w:val="00893F32"/>
    <w:rsid w:val="00906711"/>
    <w:rsid w:val="009B4078"/>
    <w:rsid w:val="009C0E77"/>
    <w:rsid w:val="009D0F83"/>
    <w:rsid w:val="009E217B"/>
    <w:rsid w:val="009E33B6"/>
    <w:rsid w:val="00A53F06"/>
    <w:rsid w:val="00A555F6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705B7"/>
    <w:rsid w:val="00B756B6"/>
    <w:rsid w:val="00B86F28"/>
    <w:rsid w:val="00BA2E19"/>
    <w:rsid w:val="00BA3A1F"/>
    <w:rsid w:val="00BC5AE1"/>
    <w:rsid w:val="00C038B1"/>
    <w:rsid w:val="00C06CA0"/>
    <w:rsid w:val="00C26198"/>
    <w:rsid w:val="00C431AD"/>
    <w:rsid w:val="00C51DB2"/>
    <w:rsid w:val="00C562C6"/>
    <w:rsid w:val="00C5687E"/>
    <w:rsid w:val="00CC0B8B"/>
    <w:rsid w:val="00CC4896"/>
    <w:rsid w:val="00CE63AF"/>
    <w:rsid w:val="00CF2D39"/>
    <w:rsid w:val="00D10B15"/>
    <w:rsid w:val="00D50979"/>
    <w:rsid w:val="00D601D7"/>
    <w:rsid w:val="00E412C7"/>
    <w:rsid w:val="00E6735E"/>
    <w:rsid w:val="00E904AD"/>
    <w:rsid w:val="00EB052E"/>
    <w:rsid w:val="00F13A56"/>
    <w:rsid w:val="00F323BA"/>
    <w:rsid w:val="00F64452"/>
    <w:rsid w:val="00F74862"/>
    <w:rsid w:val="00F92273"/>
    <w:rsid w:val="00F9438B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93</cp:revision>
  <dcterms:created xsi:type="dcterms:W3CDTF">2014-12-07T11:07:00Z</dcterms:created>
  <dcterms:modified xsi:type="dcterms:W3CDTF">2014-12-15T14:04:00Z</dcterms:modified>
</cp:coreProperties>
</file>