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16E" w:rsidRPr="00DA116E" w:rsidRDefault="00DA116E" w:rsidP="00DA116E">
      <w:pPr>
        <w:bidi w:val="0"/>
        <w:rPr>
          <w:lang w:val="fr-FR" w:bidi="ar-DZ"/>
        </w:rPr>
      </w:pPr>
      <w:r w:rsidRPr="00DA116E">
        <w:rPr>
          <w:lang w:val="fr-FR" w:bidi="ar-DZ"/>
        </w:rPr>
        <w:t xml:space="preserve">Depuis l'avènement de l'ère spatiale à la fin des années 1950 et  les satellites basse altitude dédiée aux mesures géomagnétiques, la connaissance des propriétés magnétiques de la Terre et des processus dynamiques qui ont lieu dans le noyau fluide a progressé de manière appréciable. </w:t>
      </w:r>
    </w:p>
    <w:p w:rsidR="00DA116E" w:rsidRPr="00DA116E" w:rsidRDefault="00DA116E" w:rsidP="00DA116E">
      <w:pPr>
        <w:bidi w:val="0"/>
        <w:rPr>
          <w:lang w:val="fr-FR" w:bidi="ar-DZ"/>
        </w:rPr>
      </w:pPr>
      <w:r w:rsidRPr="00DA116E">
        <w:rPr>
          <w:lang w:val="fr-FR" w:bidi="ar-DZ"/>
        </w:rPr>
        <w:t>Les récents satellites Danois OERSTED et Allemand CHAMP en orbite depuis 1999 pour le premier et 2000 pour le second permettent une cartographie spatiale de haute résolution du champ géomagnétique et un suivi de la variation séculaire sur l'ensemble du globe. Cette couverture globale est complémentaire de la distribution spatiale des observatoires au sol. Dans ce travail, les mesures scalaires et vectorielles de ces satellites sont exploitées pour la modélisation du champ magnétique terrestre.</w:t>
      </w:r>
    </w:p>
    <w:p w:rsidR="00DA116E" w:rsidRPr="00DA116E" w:rsidRDefault="00DA116E" w:rsidP="00DA116E">
      <w:pPr>
        <w:bidi w:val="0"/>
        <w:rPr>
          <w:lang w:val="fr-FR" w:bidi="ar-DZ"/>
        </w:rPr>
      </w:pPr>
      <w:r w:rsidRPr="00DA116E">
        <w:rPr>
          <w:lang w:val="fr-FR" w:bidi="ar-DZ"/>
        </w:rPr>
        <w:t xml:space="preserve">Il s'agit de construire des modèles statiques du champ interne en déterminant les coefficients de Gauss  du développement en harmoniques sphériques ainsi que des modèles de variation séculaire pour une période allant de 1999 à 2004. </w:t>
      </w:r>
    </w:p>
    <w:p w:rsidR="00DA116E" w:rsidRPr="00DA116E" w:rsidRDefault="00DA116E" w:rsidP="00DA116E">
      <w:pPr>
        <w:bidi w:val="0"/>
        <w:rPr>
          <w:lang w:val="fr-FR" w:bidi="ar-DZ"/>
        </w:rPr>
      </w:pPr>
      <w:r w:rsidRPr="00DA116E">
        <w:rPr>
          <w:lang w:val="fr-FR" w:bidi="ar-DZ"/>
        </w:rPr>
        <w:t>Une étude systématique des paramètres de l'inversion conditionnant les résultats est menée. L'inversion, par la méthode classique des moindres carrés est effectuée. Après linéarisation du problème en utilisant les mesures scalaires, la minimisation de l'effet Backus est réalisée grâce à la contrainte de la connaissance de l'équateur géomagnétique. Le développement en harmoniques sphériques est effectué jusqu'au degré et ordre 13 pour le champ interne pour des jeux de données portant sur des intervalles de temps de 1 à 2 mois. Les modèles de variation séculaire sont simplement déduits par différence des modèles statiques mensuels successifs.</w:t>
      </w:r>
    </w:p>
    <w:p w:rsidR="00521351" w:rsidRPr="00DA116E" w:rsidRDefault="00DA116E" w:rsidP="00DA116E">
      <w:pPr>
        <w:bidi w:val="0"/>
        <w:rPr>
          <w:rFonts w:hint="cs"/>
          <w:lang w:val="fr-FR" w:bidi="ar-DZ"/>
        </w:rPr>
      </w:pPr>
      <w:r w:rsidRPr="00DA116E">
        <w:rPr>
          <w:lang w:val="fr-FR" w:bidi="ar-DZ"/>
        </w:rPr>
        <w:t>Désormais nous pouvons envisager d'avoir accès à une caractérisation de la variation séculaires en temps quasi-réel.</w:t>
      </w:r>
    </w:p>
    <w:sectPr w:rsidR="00521351" w:rsidRPr="00DA116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A116E"/>
    <w:rsid w:val="00521351"/>
    <w:rsid w:val="006D5754"/>
    <w:rsid w:val="00DA116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135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266</Words>
  <Characters>1518</Characters>
  <Application>Microsoft Office Word</Application>
  <DocSecurity>0</DocSecurity>
  <Lines>12</Lines>
  <Paragraphs>3</Paragraphs>
  <ScaleCrop>false</ScaleCrop>
  <Company/>
  <LinksUpToDate>false</LinksUpToDate>
  <CharactersWithSpaces>1781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2014-11-23T13:07:00Z</dcterms:created>
  <dcterms:modified xsi:type="dcterms:W3CDTF">2014-11-23T13:07:00Z</dcterms:modified>
</cp:coreProperties>
</file>