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Les céramiques ferroélectriques se subdivisent en deux classes différentes: les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ferroélectriques classiques et les ferroélectriques relaxeurs. Ces derniers constituent une classe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de matériaux possédant des propriétés physiques les rendant intéressantes dans divers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domaines (électronique, électrooptique, photocatalyse…). En outre, ils présentent une forte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valeur de la permittivité diélectrique sur une large gamme de température et une forte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dispersion en fréquence. Ce sont ces caractéristiques qui les distinguent des ferroélectriques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classiques. Ce comportement est particulièrement observé dans les pérovskites complexes de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formulations AA’BO3, ABB’O3 ou AA’BB’O3 où un même site cristallographique (A et/ou B)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est occupé par deux cations de natures différentes.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Par ailleurs, les matériaux ferroélectriques actuellement utilisés sont des céramiques à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base de plomb (A=Pb) qui présentent un inconvénient en raison de la toxicité et de la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volatilité de PbO. Afin de protéger notre environnement, les recherches actuelles sont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orientées vers de nouveaux produits non polluants. A cet effet, les matériaux à base de titanate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de baryum semblent être une alternative intéressante.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Notre travail s’inscrit dans cette perspective où nous avons choisi d’élaborer et de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caractériser de nouvelles compositions sans plomb dérivées de BaTiO3 et de compositions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AB1-yB’yO3, A1-xA’xBO3 et A1-xA’xB1-yB’yO3 (A, A’ = Alcalino-terreux ou terres rares ;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B, B’ = éléments de transition).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Des investigations préliminaires effectuées par diffraction des rayons X par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microscopie électronique à balayage ont permis de contrôler la pureté de nos échantillons, de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déterminer le domaine d’existence des solutions solides et d’optimiser les conditions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d’élaborations de nos matériaux.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L’étude diélectrique a permis d’identifier un comportement ferroélectrique classique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et/ou relaxeur au sein des différents systèmes étudiés. Pour les substitutions homovalentes en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lastRenderedPageBreak/>
        <w:t>site A ou pour toute composition voisine de BaTiO3 aucun effet relaxeur n’apparaît.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Cependant, ce phénomène se manifeste pour des valeurs élevées dans le cas des substitutions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hétérovalentes en site A et des substitutions homovalentes en site B. En revanche, pour les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substitutions hétérovalentes en site B, quelle que soit la substitution couplée dans les autres</w:t>
      </w:r>
    </w:p>
    <w:p w:rsidR="009036D3" w:rsidRPr="009036D3" w:rsidRDefault="009036D3" w:rsidP="009036D3">
      <w:pPr>
        <w:bidi w:val="0"/>
        <w:rPr>
          <w:lang w:val="fr-FR" w:bidi="ar-DZ"/>
        </w:rPr>
      </w:pPr>
      <w:r w:rsidRPr="009036D3">
        <w:rPr>
          <w:lang w:val="fr-FR" w:bidi="ar-DZ"/>
        </w:rPr>
        <w:t>sites (A ou anionique), l’aspect relaxeur s’observe dès les faibles valeurs de x ou y impliquant</w:t>
      </w:r>
    </w:p>
    <w:p w:rsidR="00C6671A" w:rsidRPr="009036D3" w:rsidRDefault="009036D3" w:rsidP="009036D3">
      <w:pPr>
        <w:bidi w:val="0"/>
        <w:rPr>
          <w:rFonts w:hint="cs"/>
          <w:lang w:val="fr-FR" w:bidi="ar-DZ"/>
        </w:rPr>
      </w:pPr>
      <w:r w:rsidRPr="009036D3">
        <w:rPr>
          <w:lang w:val="fr-FR" w:bidi="ar-DZ"/>
        </w:rPr>
        <w:t>que ce comportement est surtout sensible pour ce type de substitution.</w:t>
      </w:r>
    </w:p>
    <w:sectPr w:rsidR="00C6671A" w:rsidRPr="009036D3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compat/>
  <w:rsids>
    <w:rsidRoot w:val="009036D3"/>
    <w:rsid w:val="005F47AF"/>
    <w:rsid w:val="009036D3"/>
    <w:rsid w:val="00C667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671A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369</Words>
  <Characters>2108</Characters>
  <Application>Microsoft Office Word</Application>
  <DocSecurity>0</DocSecurity>
  <Lines>17</Lines>
  <Paragraphs>4</Paragraphs>
  <ScaleCrop>false</ScaleCrop>
  <Company/>
  <LinksUpToDate>false</LinksUpToDate>
  <CharactersWithSpaces>2473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2015-11-25T09:33:00Z</dcterms:created>
  <dcterms:modified xsi:type="dcterms:W3CDTF">2015-11-25T09:33:00Z</dcterms:modified>
</cp:coreProperties>
</file>