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B1118" w:rsidRDefault="003B1118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4216B" w:rsidRDefault="00E4216B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D147B9"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:rsidR="00D147B9" w:rsidRPr="00D147B9" w:rsidRDefault="00D147B9" w:rsidP="00E4216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4216B" w:rsidRPr="00D147B9" w:rsidRDefault="00E4216B" w:rsidP="006768FC">
      <w:pPr>
        <w:pStyle w:val="Default"/>
        <w:spacing w:line="360" w:lineRule="auto"/>
        <w:jc w:val="both"/>
        <w:rPr>
          <w:rFonts w:asciiTheme="majorBidi" w:hAnsiTheme="majorBidi" w:cstheme="majorBidi"/>
          <w:sz w:val="22"/>
          <w:szCs w:val="22"/>
        </w:rPr>
      </w:pP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La leishmaniose </w:t>
      </w:r>
      <w:r w:rsidR="00D147B9" w:rsidRPr="00D147B9">
        <w:rPr>
          <w:rFonts w:asciiTheme="majorBidi" w:hAnsiTheme="majorBidi" w:cstheme="majorBidi"/>
          <w:color w:val="auto"/>
          <w:sz w:val="22"/>
          <w:szCs w:val="22"/>
        </w:rPr>
        <w:t xml:space="preserve">cutanée </w:t>
      </w:r>
      <w:r w:rsidR="00D147B9">
        <w:rPr>
          <w:rFonts w:asciiTheme="majorBidi" w:hAnsiTheme="majorBidi" w:cstheme="majorBidi"/>
          <w:color w:val="auto"/>
          <w:sz w:val="22"/>
          <w:szCs w:val="22"/>
        </w:rPr>
        <w:t>est</w:t>
      </w: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    endémique en    </w:t>
      </w:r>
      <w:r w:rsidR="00D147B9" w:rsidRPr="00D147B9">
        <w:rPr>
          <w:rFonts w:asciiTheme="majorBidi" w:hAnsiTheme="majorBidi" w:cstheme="majorBidi"/>
          <w:color w:val="auto"/>
          <w:sz w:val="22"/>
          <w:szCs w:val="22"/>
        </w:rPr>
        <w:t xml:space="preserve">Algérie </w:t>
      </w:r>
      <w:r w:rsidR="00D147B9">
        <w:rPr>
          <w:rFonts w:asciiTheme="majorBidi" w:hAnsiTheme="majorBidi" w:cstheme="majorBidi"/>
          <w:color w:val="auto"/>
          <w:sz w:val="22"/>
          <w:szCs w:val="22"/>
        </w:rPr>
        <w:t>sous deux formes</w:t>
      </w: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,   la forme </w:t>
      </w:r>
      <w:r w:rsidR="00D147B9" w:rsidRPr="00D147B9">
        <w:rPr>
          <w:rFonts w:asciiTheme="majorBidi" w:hAnsiTheme="majorBidi" w:cstheme="majorBidi"/>
          <w:color w:val="auto"/>
          <w:sz w:val="22"/>
          <w:szCs w:val="22"/>
        </w:rPr>
        <w:t>sporadique</w:t>
      </w:r>
      <w:r w:rsidR="00D147B9">
        <w:rPr>
          <w:rFonts w:asciiTheme="majorBidi" w:hAnsiTheme="majorBidi" w:cstheme="majorBidi"/>
          <w:color w:val="auto"/>
          <w:sz w:val="22"/>
          <w:szCs w:val="22"/>
        </w:rPr>
        <w:t xml:space="preserve"> à </w:t>
      </w:r>
      <w:r w:rsidR="00D147B9" w:rsidRPr="00D147B9">
        <w:rPr>
          <w:rFonts w:asciiTheme="majorBidi" w:hAnsiTheme="majorBidi" w:cstheme="majorBidi"/>
          <w:color w:val="auto"/>
          <w:sz w:val="22"/>
          <w:szCs w:val="22"/>
        </w:rPr>
        <w:t xml:space="preserve"> </w:t>
      </w:r>
      <w:r w:rsidR="00D147B9" w:rsidRPr="00D147B9">
        <w:rPr>
          <w:rFonts w:asciiTheme="majorBidi" w:hAnsiTheme="majorBidi" w:cstheme="majorBidi"/>
          <w:i/>
          <w:iCs/>
          <w:color w:val="auto"/>
          <w:sz w:val="22"/>
          <w:szCs w:val="22"/>
        </w:rPr>
        <w:t>Leishmania</w:t>
      </w:r>
      <w:r w:rsidRPr="00D147B9">
        <w:rPr>
          <w:rFonts w:asciiTheme="majorBidi" w:hAnsiTheme="majorBidi" w:cstheme="majorBidi"/>
          <w:i/>
          <w:iCs/>
          <w:color w:val="auto"/>
          <w:sz w:val="22"/>
          <w:szCs w:val="22"/>
        </w:rPr>
        <w:t xml:space="preserve"> </w:t>
      </w:r>
      <w:r w:rsidR="00D147B9" w:rsidRPr="00D147B9">
        <w:rPr>
          <w:rFonts w:asciiTheme="majorBidi" w:hAnsiTheme="majorBidi" w:cstheme="majorBidi"/>
          <w:i/>
          <w:iCs/>
          <w:color w:val="auto"/>
          <w:sz w:val="22"/>
          <w:szCs w:val="22"/>
        </w:rPr>
        <w:t>infantum</w:t>
      </w:r>
      <w:r w:rsidR="00D147B9" w:rsidRPr="00D147B9">
        <w:rPr>
          <w:rFonts w:asciiTheme="majorBidi" w:hAnsiTheme="majorBidi" w:cstheme="majorBidi"/>
          <w:color w:val="auto"/>
          <w:sz w:val="22"/>
          <w:szCs w:val="22"/>
        </w:rPr>
        <w:t xml:space="preserve"> dans</w:t>
      </w: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 le nord   et la forme </w:t>
      </w:r>
      <w:r w:rsidR="00D147B9">
        <w:rPr>
          <w:rFonts w:asciiTheme="majorBidi" w:hAnsiTheme="majorBidi" w:cstheme="majorBidi"/>
          <w:color w:val="auto"/>
          <w:sz w:val="22"/>
          <w:szCs w:val="22"/>
        </w:rPr>
        <w:t>zoonotique à</w:t>
      </w:r>
      <w:r w:rsidR="006768FC">
        <w:rPr>
          <w:rFonts w:asciiTheme="majorBidi" w:hAnsiTheme="majorBidi" w:cstheme="majorBidi"/>
          <w:color w:val="auto"/>
          <w:sz w:val="22"/>
          <w:szCs w:val="22"/>
        </w:rPr>
        <w:t xml:space="preserve"> </w:t>
      </w: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  </w:t>
      </w:r>
      <w:r w:rsidRPr="00D147B9">
        <w:rPr>
          <w:rFonts w:asciiTheme="majorBidi" w:hAnsiTheme="majorBidi" w:cstheme="majorBidi"/>
          <w:i/>
          <w:iCs/>
          <w:color w:val="auto"/>
          <w:sz w:val="22"/>
          <w:szCs w:val="22"/>
        </w:rPr>
        <w:t>Leishmania. major</w:t>
      </w: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 dans </w:t>
      </w:r>
      <w:r w:rsidR="00D147B9">
        <w:rPr>
          <w:rFonts w:asciiTheme="majorBidi" w:hAnsiTheme="majorBidi" w:cstheme="majorBidi"/>
          <w:color w:val="auto"/>
          <w:sz w:val="22"/>
          <w:szCs w:val="22"/>
        </w:rPr>
        <w:t xml:space="preserve"> </w:t>
      </w:r>
      <w:r w:rsidRPr="00D147B9">
        <w:rPr>
          <w:rFonts w:asciiTheme="majorBidi" w:hAnsiTheme="majorBidi" w:cstheme="majorBidi"/>
          <w:color w:val="auto"/>
          <w:sz w:val="22"/>
          <w:szCs w:val="22"/>
        </w:rPr>
        <w:t xml:space="preserve"> le sud du pays.</w:t>
      </w:r>
      <w:r w:rsidRPr="00D147B9">
        <w:rPr>
          <w:rFonts w:asciiTheme="majorBidi" w:hAnsiTheme="majorBidi" w:cstheme="majorBidi"/>
          <w:noProof/>
          <w:color w:val="auto"/>
          <w:sz w:val="22"/>
          <w:szCs w:val="22"/>
        </w:rPr>
        <w:t xml:space="preserve">  </w:t>
      </w:r>
      <w:r w:rsidR="00D147B9" w:rsidRPr="00D147B9">
        <w:rPr>
          <w:rFonts w:asciiTheme="majorBidi" w:hAnsiTheme="majorBidi" w:cstheme="majorBidi"/>
          <w:sz w:val="22"/>
          <w:szCs w:val="22"/>
        </w:rPr>
        <w:t xml:space="preserve"> </w:t>
      </w:r>
      <w:r w:rsidRPr="00D147B9">
        <w:rPr>
          <w:rFonts w:asciiTheme="majorBidi" w:hAnsiTheme="majorBidi" w:cstheme="majorBidi"/>
          <w:sz w:val="22"/>
          <w:szCs w:val="22"/>
        </w:rPr>
        <w:t xml:space="preserve">Notre étude a permis la mise en évidence de l’altération </w:t>
      </w:r>
      <w:r w:rsidR="00D147B9" w:rsidRPr="00D147B9">
        <w:rPr>
          <w:rFonts w:asciiTheme="majorBidi" w:hAnsiTheme="majorBidi" w:cstheme="majorBidi"/>
          <w:sz w:val="22"/>
          <w:szCs w:val="22"/>
        </w:rPr>
        <w:t>de la</w:t>
      </w:r>
      <w:r w:rsidRPr="00D147B9">
        <w:rPr>
          <w:rFonts w:asciiTheme="majorBidi" w:hAnsiTheme="majorBidi" w:cstheme="majorBidi"/>
          <w:sz w:val="22"/>
          <w:szCs w:val="22"/>
        </w:rPr>
        <w:t xml:space="preserve"> voie Th1 et l’implication de la voie TH17 dans l’</w:t>
      </w:r>
      <w:r w:rsidR="00D147B9" w:rsidRPr="00D147B9">
        <w:rPr>
          <w:rFonts w:asciiTheme="majorBidi" w:hAnsiTheme="majorBidi" w:cstheme="majorBidi"/>
          <w:sz w:val="22"/>
          <w:szCs w:val="22"/>
        </w:rPr>
        <w:t>effet délétère des PN</w:t>
      </w:r>
      <w:r w:rsidRPr="00D147B9">
        <w:rPr>
          <w:rFonts w:asciiTheme="majorBidi" w:hAnsiTheme="majorBidi" w:cstheme="majorBidi"/>
          <w:sz w:val="22"/>
          <w:szCs w:val="22"/>
        </w:rPr>
        <w:t xml:space="preserve">, et </w:t>
      </w:r>
      <w:r w:rsidR="00D147B9">
        <w:rPr>
          <w:rFonts w:asciiTheme="majorBidi" w:hAnsiTheme="majorBidi" w:cstheme="majorBidi"/>
          <w:sz w:val="22"/>
          <w:szCs w:val="22"/>
        </w:rPr>
        <w:t>de</w:t>
      </w:r>
      <w:r w:rsidR="006768FC">
        <w:rPr>
          <w:rFonts w:asciiTheme="majorBidi" w:hAnsiTheme="majorBidi" w:cstheme="majorBidi"/>
          <w:sz w:val="22"/>
          <w:szCs w:val="22"/>
        </w:rPr>
        <w:t>s</w:t>
      </w:r>
      <w:r w:rsidR="00D147B9">
        <w:rPr>
          <w:rFonts w:asciiTheme="majorBidi" w:hAnsiTheme="majorBidi" w:cstheme="majorBidi"/>
          <w:sz w:val="22"/>
          <w:szCs w:val="22"/>
        </w:rPr>
        <w:t xml:space="preserve"> </w:t>
      </w:r>
      <w:r w:rsidR="006768FC">
        <w:rPr>
          <w:rFonts w:asciiTheme="majorBidi" w:hAnsiTheme="majorBidi" w:cstheme="majorBidi"/>
          <w:sz w:val="22"/>
          <w:szCs w:val="22"/>
        </w:rPr>
        <w:t xml:space="preserve"> </w:t>
      </w:r>
      <w:r w:rsidR="00D147B9">
        <w:rPr>
          <w:rFonts w:asciiTheme="majorBidi" w:hAnsiTheme="majorBidi" w:cstheme="majorBidi"/>
          <w:sz w:val="22"/>
          <w:szCs w:val="22"/>
        </w:rPr>
        <w:t xml:space="preserve"> voie</w:t>
      </w:r>
      <w:r w:rsidR="006768FC">
        <w:rPr>
          <w:rFonts w:asciiTheme="majorBidi" w:hAnsiTheme="majorBidi" w:cstheme="majorBidi"/>
          <w:sz w:val="22"/>
          <w:szCs w:val="22"/>
        </w:rPr>
        <w:t>s</w:t>
      </w:r>
      <w:r w:rsidR="00D147B9">
        <w:rPr>
          <w:rFonts w:asciiTheme="majorBidi" w:hAnsiTheme="majorBidi" w:cstheme="majorBidi"/>
          <w:sz w:val="22"/>
          <w:szCs w:val="22"/>
        </w:rPr>
        <w:t xml:space="preserve"> Treg </w:t>
      </w:r>
      <w:r w:rsidR="006768FC">
        <w:rPr>
          <w:rFonts w:asciiTheme="majorBidi" w:hAnsiTheme="majorBidi" w:cstheme="majorBidi"/>
          <w:sz w:val="22"/>
          <w:szCs w:val="22"/>
        </w:rPr>
        <w:t xml:space="preserve">et Th2 </w:t>
      </w:r>
      <w:r w:rsidRPr="00D147B9">
        <w:rPr>
          <w:rFonts w:asciiTheme="majorBidi" w:hAnsiTheme="majorBidi" w:cstheme="majorBidi"/>
          <w:sz w:val="22"/>
          <w:szCs w:val="22"/>
        </w:rPr>
        <w:t xml:space="preserve"> dans l’exacerbation des lésions par l’inhibition de l’iNOS et l’activation de l’Arg1, engendrant ainsi les altérations cutanées.</w:t>
      </w:r>
      <w:r w:rsidR="00D147B9">
        <w:rPr>
          <w:rFonts w:asciiTheme="majorBidi" w:hAnsiTheme="majorBidi" w:cstheme="majorBidi"/>
          <w:sz w:val="22"/>
          <w:szCs w:val="22"/>
        </w:rPr>
        <w:t xml:space="preserve"> </w:t>
      </w:r>
      <w:r w:rsidR="00D147B9" w:rsidRPr="00D147B9">
        <w:rPr>
          <w:rFonts w:asciiTheme="majorBidi" w:hAnsiTheme="majorBidi" w:cstheme="majorBidi"/>
          <w:sz w:val="22"/>
          <w:szCs w:val="22"/>
        </w:rPr>
        <w:t xml:space="preserve"> N</w:t>
      </w:r>
      <w:r w:rsidRPr="00D147B9">
        <w:rPr>
          <w:rFonts w:asciiTheme="majorBidi" w:hAnsiTheme="majorBidi" w:cstheme="majorBidi"/>
          <w:sz w:val="22"/>
          <w:szCs w:val="22"/>
        </w:rPr>
        <w:t xml:space="preserve">ous avons    contribué à la mise en </w:t>
      </w:r>
      <w:r w:rsidR="00D147B9" w:rsidRPr="00D147B9">
        <w:rPr>
          <w:rFonts w:asciiTheme="majorBidi" w:hAnsiTheme="majorBidi" w:cstheme="majorBidi"/>
          <w:sz w:val="22"/>
          <w:szCs w:val="22"/>
        </w:rPr>
        <w:t>évidence de</w:t>
      </w:r>
      <w:r w:rsidRPr="00D147B9">
        <w:rPr>
          <w:rFonts w:asciiTheme="majorBidi" w:hAnsiTheme="majorBidi" w:cstheme="majorBidi"/>
          <w:sz w:val="22"/>
          <w:szCs w:val="22"/>
        </w:rPr>
        <w:t xml:space="preserve"> l’effet proapototique, </w:t>
      </w:r>
      <w:r w:rsidR="00D147B9" w:rsidRPr="00D147B9">
        <w:rPr>
          <w:rFonts w:asciiTheme="majorBidi" w:hAnsiTheme="majorBidi" w:cstheme="majorBidi"/>
          <w:sz w:val="22"/>
          <w:szCs w:val="22"/>
        </w:rPr>
        <w:t>prooxydant,</w:t>
      </w:r>
      <w:r w:rsidRPr="00D147B9">
        <w:rPr>
          <w:rFonts w:asciiTheme="majorBidi" w:hAnsiTheme="majorBidi" w:cstheme="majorBidi"/>
          <w:sz w:val="22"/>
          <w:szCs w:val="22"/>
        </w:rPr>
        <w:t xml:space="preserve"> antiinflammatoire et immunorégulateur des</w:t>
      </w:r>
      <w:r w:rsidR="00D147B9" w:rsidRPr="00D147B9">
        <w:rPr>
          <w:rFonts w:asciiTheme="majorBidi" w:hAnsiTheme="majorBidi" w:cstheme="majorBidi"/>
          <w:sz w:val="22"/>
          <w:szCs w:val="22"/>
        </w:rPr>
        <w:t xml:space="preserve"> TLR</w:t>
      </w:r>
      <w:r w:rsidR="00D147B9">
        <w:rPr>
          <w:rFonts w:asciiTheme="majorBidi" w:hAnsiTheme="majorBidi" w:cstheme="majorBidi"/>
        </w:rPr>
        <w:t>,</w:t>
      </w:r>
      <w:r w:rsidR="00D147B9" w:rsidRPr="00D147B9">
        <w:rPr>
          <w:rFonts w:asciiTheme="majorBidi" w:hAnsiTheme="majorBidi" w:cstheme="majorBidi"/>
          <w:sz w:val="22"/>
          <w:szCs w:val="22"/>
        </w:rPr>
        <w:t xml:space="preserve"> de l’acide caféique</w:t>
      </w:r>
      <w:r w:rsidRPr="00D147B9">
        <w:rPr>
          <w:rFonts w:asciiTheme="majorBidi" w:hAnsiTheme="majorBidi" w:cstheme="majorBidi"/>
          <w:sz w:val="22"/>
          <w:szCs w:val="22"/>
        </w:rPr>
        <w:t xml:space="preserve">.  Nos résultats ouvrent des perspectives très prometteuses quant à l’utilisation thérapeutique de l’acide caféique   dans </w:t>
      </w:r>
      <w:r w:rsidR="00D147B9" w:rsidRPr="00D147B9">
        <w:rPr>
          <w:rFonts w:asciiTheme="majorBidi" w:hAnsiTheme="majorBidi" w:cstheme="majorBidi"/>
          <w:sz w:val="22"/>
          <w:szCs w:val="22"/>
        </w:rPr>
        <w:t>la forme cutanée</w:t>
      </w:r>
      <w:r w:rsidRPr="00D147B9">
        <w:rPr>
          <w:rFonts w:asciiTheme="majorBidi" w:hAnsiTheme="majorBidi" w:cstheme="majorBidi"/>
          <w:sz w:val="22"/>
          <w:szCs w:val="22"/>
        </w:rPr>
        <w:t xml:space="preserve"> de la leishmaniose.</w:t>
      </w:r>
    </w:p>
    <w:p w:rsidR="00E4216B" w:rsidRPr="002B41CA" w:rsidRDefault="00E4216B" w:rsidP="00E4216B">
      <w:pPr>
        <w:pStyle w:val="Default"/>
        <w:jc w:val="both"/>
        <w:rPr>
          <w:sz w:val="22"/>
          <w:szCs w:val="22"/>
        </w:rPr>
      </w:pPr>
    </w:p>
    <w:p w:rsidR="00E4216B" w:rsidRDefault="00E4216B" w:rsidP="00E4216B">
      <w:pPr>
        <w:pStyle w:val="Default"/>
        <w:jc w:val="both"/>
        <w:rPr>
          <w:sz w:val="22"/>
          <w:szCs w:val="22"/>
        </w:rPr>
      </w:pPr>
    </w:p>
    <w:p w:rsidR="00E4216B" w:rsidRDefault="00E4216B" w:rsidP="00E4216B">
      <w:pPr>
        <w:pStyle w:val="Default"/>
        <w:jc w:val="both"/>
        <w:rPr>
          <w:sz w:val="22"/>
          <w:szCs w:val="22"/>
        </w:rPr>
      </w:pPr>
    </w:p>
    <w:p w:rsidR="00E4216B" w:rsidRDefault="00E4216B" w:rsidP="00E4216B">
      <w:pPr>
        <w:pStyle w:val="Default"/>
        <w:jc w:val="both"/>
        <w:rPr>
          <w:sz w:val="22"/>
          <w:szCs w:val="22"/>
        </w:rPr>
      </w:pPr>
    </w:p>
    <w:p w:rsidR="00E4216B" w:rsidRPr="00440643" w:rsidRDefault="00E4216B" w:rsidP="00E4216B">
      <w:pPr>
        <w:pStyle w:val="Default"/>
        <w:jc w:val="both"/>
        <w:rPr>
          <w:b/>
          <w:bCs/>
          <w:sz w:val="22"/>
          <w:szCs w:val="22"/>
        </w:rPr>
      </w:pPr>
    </w:p>
    <w:p w:rsidR="00C44D57" w:rsidRDefault="00C44D57"/>
    <w:sectPr w:rsidR="00C44D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7F5" w:rsidRDefault="00BF47F5" w:rsidP="00D147B9">
      <w:pPr>
        <w:spacing w:after="0" w:line="240" w:lineRule="auto"/>
      </w:pPr>
      <w:r>
        <w:separator/>
      </w:r>
    </w:p>
  </w:endnote>
  <w:endnote w:type="continuationSeparator" w:id="0">
    <w:p w:rsidR="00BF47F5" w:rsidRDefault="00BF47F5" w:rsidP="00D147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7F5" w:rsidRDefault="00BF47F5" w:rsidP="00D147B9">
      <w:pPr>
        <w:spacing w:after="0" w:line="240" w:lineRule="auto"/>
      </w:pPr>
      <w:r>
        <w:separator/>
      </w:r>
    </w:p>
  </w:footnote>
  <w:footnote w:type="continuationSeparator" w:id="0">
    <w:p w:rsidR="00BF47F5" w:rsidRDefault="00BF47F5" w:rsidP="00D147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16B"/>
    <w:rsid w:val="0006168D"/>
    <w:rsid w:val="003B1118"/>
    <w:rsid w:val="006768FC"/>
    <w:rsid w:val="00BF47F5"/>
    <w:rsid w:val="00C44D57"/>
    <w:rsid w:val="00D147B9"/>
    <w:rsid w:val="00E4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28E269-DFE5-4D00-A3D6-F2AAB9AB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216B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E4216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147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147B9"/>
  </w:style>
  <w:style w:type="paragraph" w:styleId="Pieddepage">
    <w:name w:val="footer"/>
    <w:basedOn w:val="Normal"/>
    <w:link w:val="PieddepageCar"/>
    <w:uiPriority w:val="99"/>
    <w:unhideWhenUsed/>
    <w:rsid w:val="00D147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147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 Microsoft</dc:creator>
  <cp:keywords/>
  <dc:description/>
  <cp:lastModifiedBy>naima</cp:lastModifiedBy>
  <cp:revision>5</cp:revision>
  <cp:lastPrinted>2017-11-26T08:15:00Z</cp:lastPrinted>
  <dcterms:created xsi:type="dcterms:W3CDTF">2017-11-27T22:17:00Z</dcterms:created>
  <dcterms:modified xsi:type="dcterms:W3CDTF">2018-02-28T12:45:00Z</dcterms:modified>
</cp:coreProperties>
</file>