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68C" w:rsidRPr="00D6068C" w:rsidRDefault="00D6068C" w:rsidP="00D6068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La </w:t>
      </w:r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NAC, </w:t>
      </w:r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antioxydant pharmacologique, </w:t>
      </w:r>
      <w:r w:rsidRPr="00D6068C">
        <w:rPr>
          <w:rFonts w:ascii="Times New Roman" w:eastAsia="Calibri" w:hAnsi="Times New Roman" w:cs="Times New Roman"/>
          <w:sz w:val="24"/>
          <w:szCs w:val="24"/>
        </w:rPr>
        <w:t>présente in vivo un effet protecteur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 dans un modèle de colite chimio-induite par le </w:t>
      </w:r>
      <w:proofErr w:type="spellStart"/>
      <w:r w:rsidRPr="00D6068C">
        <w:rPr>
          <w:rFonts w:ascii="Times New Roman" w:eastAsia="Calibri" w:hAnsi="Times New Roman" w:cs="Times New Roman"/>
          <w:sz w:val="24"/>
          <w:szCs w:val="24"/>
        </w:rPr>
        <w:t>Dextran</w:t>
      </w:r>
      <w:proofErr w:type="spellEnd"/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 Sulfate de Sodium (DSS)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D6068C">
        <w:rPr>
          <w:rFonts w:ascii="Times New Roman" w:eastAsia="Calibri" w:hAnsi="Times New Roman" w:cs="Times New Roman"/>
          <w:sz w:val="24"/>
          <w:szCs w:val="24"/>
        </w:rPr>
        <w:t>contre la toxicité mitochondriale lié aux ROS, les altérations cryptiques et l’hyperplasie des cellules épithéliales, en partie</w:t>
      </w:r>
      <w:bookmarkStart w:id="0" w:name="_GoBack"/>
      <w:bookmarkEnd w:id="0"/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 par la restauration de l'état redox et in vitro </w:t>
      </w:r>
      <w:r w:rsidRPr="00E70468">
        <w:rPr>
          <w:rFonts w:ascii="Times New Roman" w:hAnsi="Times New Roman" w:cs="Times New Roman"/>
          <w:sz w:val="24"/>
          <w:szCs w:val="24"/>
        </w:rPr>
        <w:t>sur la lignée d’adénocarcinome de colon humain HT-29 et HT-29 MD-2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en ayant un effet antiprolifératif, </w:t>
      </w:r>
      <w:proofErr w:type="spellStart"/>
      <w:r w:rsidRPr="00D6068C">
        <w:rPr>
          <w:rFonts w:ascii="Times New Roman" w:eastAsia="Calibri" w:hAnsi="Times New Roman" w:cs="Times New Roman"/>
          <w:sz w:val="24"/>
          <w:szCs w:val="24"/>
        </w:rPr>
        <w:t>pro-apoptotique</w:t>
      </w:r>
      <w:proofErr w:type="spellEnd"/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 et antiinflammatoire </w:t>
      </w:r>
      <w:r>
        <w:rPr>
          <w:rFonts w:ascii="Times New Roman" w:hAnsi="Times New Roman" w:cs="Times New Roman"/>
          <w:sz w:val="24"/>
          <w:szCs w:val="24"/>
        </w:rPr>
        <w:t xml:space="preserve">associée à </w:t>
      </w:r>
      <w:r w:rsidRPr="00E70468">
        <w:rPr>
          <w:rFonts w:ascii="Times New Roman" w:hAnsi="Times New Roman" w:cs="Times New Roman"/>
          <w:sz w:val="24"/>
          <w:szCs w:val="24"/>
        </w:rPr>
        <w:t>une baisse de production d’IL-8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6068C">
        <w:rPr>
          <w:rFonts w:ascii="Times New Roman" w:eastAsia="Calibri" w:hAnsi="Times New Roman" w:cs="Times New Roman"/>
          <w:sz w:val="24"/>
          <w:szCs w:val="24"/>
        </w:rPr>
        <w:t>en  interférant avec les voies de signalisation EGFR</w:t>
      </w:r>
      <w:r>
        <w:rPr>
          <w:rFonts w:ascii="Times New Roman" w:eastAsia="Calibri" w:hAnsi="Times New Roman" w:cs="Times New Roman"/>
          <w:sz w:val="24"/>
          <w:szCs w:val="24"/>
        </w:rPr>
        <w:t>-PI3Kinase</w:t>
      </w:r>
      <w:r w:rsidRPr="00D6068C">
        <w:rPr>
          <w:rFonts w:ascii="Times New Roman" w:eastAsia="Calibri" w:hAnsi="Times New Roman" w:cs="Times New Roman"/>
          <w:sz w:val="24"/>
          <w:szCs w:val="24"/>
        </w:rPr>
        <w:t xml:space="preserve"> et TLR-4 dépendantes contrôlant ainsi l’activation du NF-κB</w:t>
      </w:r>
      <w:r>
        <w:rPr>
          <w:rFonts w:ascii="Times New Roman" w:eastAsia="Calibri" w:hAnsi="Times New Roman" w:cs="Times New Roman"/>
          <w:sz w:val="24"/>
          <w:szCs w:val="24"/>
        </w:rPr>
        <w:t xml:space="preserve"> et la phosphorylation de JNK et de la p38 MAPK</w:t>
      </w:r>
      <w:r w:rsidRPr="00D6068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6068C" w:rsidRPr="00D6068C" w:rsidRDefault="00D6068C" w:rsidP="00D6068C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1E27DA" w:rsidRDefault="00D6068C"/>
    <w:sectPr w:rsidR="001E27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68C"/>
    <w:rsid w:val="00205AA5"/>
    <w:rsid w:val="002816A7"/>
    <w:rsid w:val="00313E48"/>
    <w:rsid w:val="004A2AE5"/>
    <w:rsid w:val="00A5782F"/>
    <w:rsid w:val="00C449C5"/>
    <w:rsid w:val="00D60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9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8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440754-4B23-44DB-A24B-0E712B64A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Stardust</dc:creator>
  <cp:lastModifiedBy>Stardust</cp:lastModifiedBy>
  <cp:revision>1</cp:revision>
  <dcterms:created xsi:type="dcterms:W3CDTF">2014-04-26T13:19:00Z</dcterms:created>
  <dcterms:modified xsi:type="dcterms:W3CDTF">2014-04-26T13:27:00Z</dcterms:modified>
</cp:coreProperties>
</file>