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51587" w:rsidRDefault="00B51587" w:rsidP="00B51587">
      <w:r>
        <w:t xml:space="preserve">Pour réaliser notre étude, nous avons choisi deux parcelles au niveau de l'Institut Technique des Grandes Cultures (I.T.G.C.) </w:t>
      </w:r>
      <w:proofErr w:type="gramStart"/>
      <w:r>
        <w:t>de Oued</w:t>
      </w:r>
      <w:proofErr w:type="gramEnd"/>
      <w:r>
        <w:t xml:space="preserve"> </w:t>
      </w:r>
      <w:proofErr w:type="spellStart"/>
      <w:r>
        <w:t>smar</w:t>
      </w:r>
      <w:proofErr w:type="spellEnd"/>
      <w:r>
        <w:t>. La première parcelle constituée de blé est nommée OB, quant à la deuxième parcelle appelée OC, comprend le colza comme espèce végétale dominante. Notre recherche s'intéresse aussi à l'activité, aux déplacements et la migration des Aranéides,  pour cela nous avons défini des niveaux, du bord vers l'intérieur des cultures. Les Aranéides ont été récoltés à l'aide de six pièges d'interception, par niveau, qui sont restés opérationnels durant une année complète et ont été vidés mensuellement.</w:t>
      </w:r>
    </w:p>
    <w:p w:rsidR="00B51587" w:rsidRDefault="00B51587" w:rsidP="00B51587">
      <w:r>
        <w:t xml:space="preserve">Au total, 2036 adultes ont été récoltés dont 1498 mâles et 538 femelles, ils appartiennent à 18 familles, 51 genres et 81 espèces. Les résultats montrent l'abondance de </w:t>
      </w:r>
      <w:proofErr w:type="spellStart"/>
      <w:r>
        <w:t>Diplocephalus</w:t>
      </w:r>
      <w:proofErr w:type="spellEnd"/>
      <w:r>
        <w:t xml:space="preserve"> </w:t>
      </w:r>
      <w:proofErr w:type="spellStart"/>
      <w:r>
        <w:t>graecus</w:t>
      </w:r>
      <w:proofErr w:type="spellEnd"/>
      <w:r>
        <w:t xml:space="preserve"> avec 627 individus appartenant à la famille des </w:t>
      </w:r>
      <w:proofErr w:type="spellStart"/>
      <w:r>
        <w:t>Linyphiidae</w:t>
      </w:r>
      <w:proofErr w:type="spellEnd"/>
      <w:r>
        <w:t>.</w:t>
      </w:r>
    </w:p>
    <w:p w:rsidR="00B51587" w:rsidRDefault="00B51587" w:rsidP="00B51587">
      <w:r>
        <w:t>L'</w:t>
      </w:r>
      <w:proofErr w:type="spellStart"/>
      <w:r>
        <w:t>agroécosystème</w:t>
      </w:r>
      <w:proofErr w:type="spellEnd"/>
      <w:r>
        <w:t xml:space="preserve"> reflète des conditions assez rigoureuses qui ne conviennent pas aux exigences de toutes les espèces du peuplement. La faune </w:t>
      </w:r>
      <w:proofErr w:type="spellStart"/>
      <w:r>
        <w:t>aranéologique</w:t>
      </w:r>
      <w:proofErr w:type="spellEnd"/>
      <w:r>
        <w:t xml:space="preserve"> est diversifiée et cela est bien montré par la richesse spécifique des deux stations d'étude qui est égale à 60 et 73 espèces respectivement pour les stations OB et OC. Cette différence de richesse,  peut être dû aux pratiques agricoles intensifiées dans le champ de blé qui causent soit la fuite des espèces ou leur mort, et à la hauteur du couvert végétal puisque le colza a atteint une hauteur de 1,70 m alors que la hauteur du blé n'a pas dépassé les 1,30 m, ce qui permet aux espèces de tisser plus de toiles impliquant une plus grande activité et de ce fait une plus grande abondance.</w:t>
      </w:r>
    </w:p>
    <w:p w:rsidR="00B51587" w:rsidRDefault="00B51587" w:rsidP="00B51587">
      <w:r>
        <w:t>En considérant les résultats obtenus pour les différents niveaux choisis dans notre étude, nous constatons des valeurs élevées pour l'indice de diversité de SHANNON qui varie entre 2,26 bits/</w:t>
      </w:r>
      <w:proofErr w:type="spellStart"/>
      <w:r>
        <w:t>ind</w:t>
      </w:r>
      <w:proofErr w:type="spellEnd"/>
      <w:r>
        <w:t xml:space="preserve"> à l'intérieur des cultures à 3,13 bits/</w:t>
      </w:r>
      <w:proofErr w:type="spellStart"/>
      <w:r>
        <w:t>ind</w:t>
      </w:r>
      <w:proofErr w:type="spellEnd"/>
      <w:r>
        <w:t xml:space="preserve"> aux niveaux des bordures, traduisant une diversité élevée avec une richesse spécifique allant de 25 à 45 espèces d'Aranéides. </w:t>
      </w:r>
    </w:p>
    <w:p w:rsidR="00346E57" w:rsidRDefault="00B51587" w:rsidP="00B51587">
      <w:r>
        <w:t>La plus faible valeur de l'</w:t>
      </w:r>
      <w:proofErr w:type="spellStart"/>
      <w:r>
        <w:t>équitabilité</w:t>
      </w:r>
      <w:proofErr w:type="spellEnd"/>
      <w:r>
        <w:t xml:space="preserve"> est de 0,66 elle a été enregistrée au centre du champ traduisant un peuplement en léger déséquilibre dans la répartition des densités à l'intérieur de la culture. Au niveau des bords, l'indice d'</w:t>
      </w:r>
      <w:proofErr w:type="spellStart"/>
      <w:r>
        <w:t>équitabilité</w:t>
      </w:r>
      <w:proofErr w:type="spellEnd"/>
      <w:r>
        <w:t xml:space="preserve"> est élevé, il vaut 0,83 ce qui montre que ce milieu contient des communautés </w:t>
      </w:r>
      <w:proofErr w:type="spellStart"/>
      <w:r>
        <w:t>aranélogiques</w:t>
      </w:r>
      <w:proofErr w:type="spellEnd"/>
      <w:r>
        <w:t xml:space="preserve"> assez stables. La stabilité observée est peut être liée à la diversité de la flore qui offre des </w:t>
      </w:r>
      <w:proofErr w:type="spellStart"/>
      <w:r>
        <w:t>microhabitats</w:t>
      </w:r>
      <w:proofErr w:type="spellEnd"/>
      <w:r>
        <w:t xml:space="preserve"> variés et des niches écologiques différentes pour les diverses espèces d'Aranéides occupant un tel milieu. Les bords des cultures sont des milieux assez favorables, par contre leurs centres sont propices au développement de certaines espèces seulement. Pour les communautés d'Aranéides, la structure du biotope agit sur la richesse spécifique alors que les modes de production par les pratiques agricoles ont un impact sur leur abondance.</w:t>
      </w:r>
    </w:p>
    <w:sectPr w:rsidR="00346E57" w:rsidSect="00346E57">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B51587"/>
    <w:rsid w:val="00346E57"/>
    <w:rsid w:val="00B5158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46E5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443</Words>
  <Characters>2442</Characters>
  <Application>Microsoft Office Word</Application>
  <DocSecurity>0</DocSecurity>
  <Lines>20</Lines>
  <Paragraphs>5</Paragraphs>
  <ScaleCrop>false</ScaleCrop>
  <Company/>
  <LinksUpToDate>false</LinksUpToDate>
  <CharactersWithSpaces>2880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2015-04-08T11:35:00Z</dcterms:created>
  <dcterms:modified xsi:type="dcterms:W3CDTF">2015-04-08T11:36:00Z</dcterms:modified>
</cp:coreProperties>
</file>