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6CF5" w:rsidRDefault="00426CF5" w:rsidP="00426CF5">
      <w:pPr>
        <w:autoSpaceDE w:val="0"/>
        <w:autoSpaceDN w:val="0"/>
        <w:adjustRightInd w:val="0"/>
        <w:spacing w:line="360" w:lineRule="auto"/>
        <w:jc w:val="both"/>
        <w:rPr>
          <w:rFonts w:ascii="Comic Sans MS" w:hAnsi="Comic Sans MS" w:cs="Times New Roman"/>
          <w:i/>
          <w:lang w:val="fr-FR"/>
        </w:rPr>
      </w:pPr>
      <w:r>
        <w:rPr>
          <w:rFonts w:ascii="Times New Roman" w:hAnsi="Times New Roman" w:cs="Times New Roman"/>
          <w:b/>
          <w:sz w:val="24"/>
          <w:szCs w:val="24"/>
          <w:lang w:val="fr-FR"/>
        </w:rPr>
        <w:t>RESUME</w:t>
      </w:r>
    </w:p>
    <w:p w:rsidR="00426CF5" w:rsidRDefault="00426CF5" w:rsidP="001534AE">
      <w:pPr>
        <w:autoSpaceDE w:val="0"/>
        <w:autoSpaceDN w:val="0"/>
        <w:adjustRightInd w:val="0"/>
        <w:spacing w:after="0"/>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Le diabète est une maladie complexe caractérisée par une hyperglycémie chronique, à l’origine d’un stress oxydant et d’une inflammation, qui contribuent aux dysfonctionnements progressifs des cellules beta pancréatiques et au développement de complications microvasculaires. Les phytoecdystéroides, notamment la 20-hydroxyecdysone (20E), ont montré des propriétés pharmacologiques bénéfiques pour la santé et seraient donc des candidats potentiellement efficaces contre le diabète. Dans cette étude, nous nous sommes intéressés à l’impact d’une  forte dose de  streptozotocine  (STZ, 130 mg/kg de poids corporel) sur le pancréas et le rein de </w:t>
      </w:r>
      <w:r>
        <w:rPr>
          <w:rFonts w:ascii="Times New Roman" w:hAnsi="Times New Roman" w:cs="Times New Roman"/>
          <w:i/>
          <w:sz w:val="24"/>
          <w:szCs w:val="24"/>
          <w:lang w:val="fr-FR"/>
        </w:rPr>
        <w:t>Gerbillus gerbillus</w:t>
      </w:r>
      <w:r>
        <w:rPr>
          <w:rFonts w:ascii="Times New Roman" w:hAnsi="Times New Roman" w:cs="Times New Roman"/>
          <w:sz w:val="24"/>
          <w:szCs w:val="24"/>
          <w:lang w:val="fr-FR"/>
        </w:rPr>
        <w:t xml:space="preserve"> et à l’influence à court terme de la 20-hydroxyecdysone (20E, 5mg/kg de poids corporel). Pour ce faire, 4 lots ont été constitués : témoins, traités par la STZ, soumis à  la STZ et traités par la 20E, traités par la 20E uniquement. </w:t>
      </w:r>
    </w:p>
    <w:p w:rsidR="00426CF5" w:rsidRDefault="00426CF5" w:rsidP="001534AE">
      <w:pPr>
        <w:autoSpaceDE w:val="0"/>
        <w:autoSpaceDN w:val="0"/>
        <w:adjustRightInd w:val="0"/>
        <w:spacing w:after="0"/>
        <w:jc w:val="both"/>
        <w:rPr>
          <w:rFonts w:ascii="Times New Roman" w:hAnsi="Times New Roman" w:cs="Times New Roman"/>
          <w:sz w:val="24"/>
          <w:szCs w:val="24"/>
          <w:lang w:val="fr-FR"/>
        </w:rPr>
      </w:pPr>
      <w:r>
        <w:rPr>
          <w:rFonts w:ascii="Times New Roman" w:hAnsi="Times New Roman" w:cs="Times New Roman"/>
          <w:sz w:val="24"/>
          <w:szCs w:val="24"/>
          <w:lang w:val="fr-FR"/>
        </w:rPr>
        <w:t>La STZ induit des bouleversements métaboliques marqués par : une augmentation de la glycémie, de la lipémie (triglycérides, du cholestérol total, des LDL-C), de la créatinine et une diminution de l’insuline, des HDL-C, ainsi qu’une déplétion des réserves hépatiques en glycogène.</w:t>
      </w:r>
    </w:p>
    <w:p w:rsidR="00426CF5" w:rsidRDefault="00426CF5" w:rsidP="001534AE">
      <w:pPr>
        <w:autoSpaceDE w:val="0"/>
        <w:autoSpaceDN w:val="0"/>
        <w:adjustRightInd w:val="0"/>
        <w:spacing w:after="0"/>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Au niveau du pancréas : nous enregistrons une désorganisation de l’architecture des ilots de Langerhans, une pycnose nucléaire et des infiltrats inflammatoires de macrophages et de lymphocytes. Parallèlement, l’évaluation du stress oxydant montre une augmentation de la peroxydation lipidique et de l’activité du système antioxydant. </w:t>
      </w:r>
    </w:p>
    <w:p w:rsidR="00426CF5" w:rsidRDefault="00426CF5" w:rsidP="001534AE">
      <w:pPr>
        <w:autoSpaceDE w:val="0"/>
        <w:autoSpaceDN w:val="0"/>
        <w:adjustRightInd w:val="0"/>
        <w:spacing w:after="0"/>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Au niveau rénal : l’examen morphohistochimique révèle plusieurs aspects lésionnaires matérialisés par une désorganisation des glomérules et tubules, une fibrose interstitielle et une inflammation diffuse. </w:t>
      </w:r>
    </w:p>
    <w:p w:rsidR="00426CF5" w:rsidRDefault="00426CF5" w:rsidP="001534AE">
      <w:pPr>
        <w:autoSpaceDE w:val="0"/>
        <w:autoSpaceDN w:val="0"/>
        <w:adjustRightInd w:val="0"/>
        <w:spacing w:after="0"/>
        <w:jc w:val="both"/>
        <w:rPr>
          <w:rFonts w:ascii="Times New Roman" w:hAnsi="Times New Roman" w:cs="Times New Roman"/>
          <w:sz w:val="24"/>
          <w:szCs w:val="24"/>
          <w:lang w:val="fr-FR"/>
        </w:rPr>
      </w:pPr>
      <w:r>
        <w:rPr>
          <w:rFonts w:ascii="Times New Roman" w:hAnsi="Times New Roman" w:cs="Times New Roman"/>
          <w:sz w:val="24"/>
          <w:szCs w:val="24"/>
          <w:lang w:val="fr-FR"/>
        </w:rPr>
        <w:t>Le traitement des gerbilles diabétiques à la 20E corrige les paramètres métaboliques en diminuant les taux de glucose, triglycérides, cholestérol total, LDL-C, créatinine et en augmentant l’insuline, HDL-C et le glycogène hépatique. La 20E améliore également le stress oxydant au niveau du pancréas.</w:t>
      </w:r>
    </w:p>
    <w:p w:rsidR="00426CF5" w:rsidRDefault="00426CF5" w:rsidP="001534AE">
      <w:pPr>
        <w:autoSpaceDE w:val="0"/>
        <w:autoSpaceDN w:val="0"/>
        <w:adjustRightInd w:val="0"/>
        <w:spacing w:after="0"/>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En définitive, nos résultats montrent, d’une part, que </w:t>
      </w:r>
      <w:r>
        <w:rPr>
          <w:rFonts w:ascii="Times New Roman" w:hAnsi="Times New Roman" w:cs="Times New Roman"/>
          <w:i/>
          <w:sz w:val="24"/>
          <w:szCs w:val="24"/>
          <w:lang w:val="fr-FR"/>
        </w:rPr>
        <w:t>Gerbillus gerbillus</w:t>
      </w:r>
      <w:r>
        <w:rPr>
          <w:rFonts w:ascii="Times New Roman" w:hAnsi="Times New Roman" w:cs="Times New Roman"/>
          <w:sz w:val="24"/>
          <w:szCs w:val="24"/>
          <w:lang w:val="fr-FR"/>
        </w:rPr>
        <w:t xml:space="preserve"> représente un modèle potentiel pour l’étude du diabète induit par la STZ et de ses complications et, d’autre part,  que la 20E possède des effets bénéfiques sur l’homéostasie glucidique, le statut lipidique et le stress oxydant suggérant son action insulinostimulante sur les cellules beta pancréatiques.</w:t>
      </w:r>
    </w:p>
    <w:p w:rsidR="001534AE" w:rsidRDefault="001534AE" w:rsidP="001534AE">
      <w:pPr>
        <w:autoSpaceDE w:val="0"/>
        <w:autoSpaceDN w:val="0"/>
        <w:adjustRightInd w:val="0"/>
        <w:spacing w:after="0"/>
        <w:jc w:val="both"/>
        <w:rPr>
          <w:rFonts w:ascii="Times New Roman" w:hAnsi="Times New Roman" w:cs="Times New Roman"/>
          <w:sz w:val="24"/>
          <w:szCs w:val="24"/>
          <w:lang w:val="fr-FR"/>
        </w:rPr>
      </w:pPr>
    </w:p>
    <w:p w:rsidR="001534AE" w:rsidRPr="001534AE" w:rsidRDefault="001534AE">
      <w:pPr>
        <w:autoSpaceDE w:val="0"/>
        <w:autoSpaceDN w:val="0"/>
        <w:adjustRightInd w:val="0"/>
        <w:spacing w:after="0" w:line="360" w:lineRule="auto"/>
        <w:jc w:val="both"/>
        <w:rPr>
          <w:rFonts w:ascii="Times New Roman" w:hAnsi="Times New Roman" w:cs="Times New Roman"/>
          <w:lang w:val="fr-FR"/>
        </w:rPr>
      </w:pPr>
      <w:bookmarkStart w:id="0" w:name="_GoBack"/>
      <w:bookmarkEnd w:id="0"/>
    </w:p>
    <w:sectPr w:rsidR="001534AE" w:rsidRPr="001534AE" w:rsidSect="00DD125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2"/>
  </w:compat>
  <w:rsids>
    <w:rsidRoot w:val="00426CF5"/>
    <w:rsid w:val="001534AE"/>
    <w:rsid w:val="001B78E0"/>
    <w:rsid w:val="001C6D4D"/>
    <w:rsid w:val="00426CF5"/>
    <w:rsid w:val="005B1CE0"/>
    <w:rsid w:val="006C1A1B"/>
    <w:rsid w:val="00A80AF0"/>
    <w:rsid w:val="00B24364"/>
    <w:rsid w:val="00DD125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6CF5"/>
    <w:rPr>
      <w:lang w:val="en-GB"/>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8991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370</Words>
  <Characters>2036</Characters>
  <Application>Microsoft Office Word</Application>
  <DocSecurity>0</DocSecurity>
  <Lines>16</Lines>
  <Paragraphs>4</Paragraphs>
  <ScaleCrop>false</ScaleCrop>
  <Company/>
  <LinksUpToDate>false</LinksUpToDate>
  <CharactersWithSpaces>2402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atmc</dc:creator>
  <cp:lastModifiedBy>b-13</cp:lastModifiedBy>
  <cp:revision>4</cp:revision>
  <dcterms:created xsi:type="dcterms:W3CDTF">2018-12-11T13:32:00Z</dcterms:created>
  <dcterms:modified xsi:type="dcterms:W3CDTF">2019-09-15T08:52:00Z</dcterms:modified>
</cp:coreProperties>
</file>