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F87" w:rsidRPr="00237600" w:rsidRDefault="00F70F87" w:rsidP="00F70F87">
      <w:pPr>
        <w:spacing w:line="276" w:lineRule="auto"/>
        <w:rPr>
          <w:rFonts w:asciiTheme="minorHAnsi" w:hAnsiTheme="minorHAnsi"/>
          <w:b/>
        </w:rPr>
      </w:pPr>
      <w:r w:rsidRPr="00237600">
        <w:rPr>
          <w:rFonts w:asciiTheme="minorHAnsi" w:hAnsiTheme="minorHAnsi"/>
          <w:b/>
        </w:rPr>
        <w:t>Résumé</w:t>
      </w:r>
    </w:p>
    <w:p w:rsidR="00F70F87" w:rsidRPr="00237600" w:rsidRDefault="00F70F87" w:rsidP="00F70F87">
      <w:pPr>
        <w:spacing w:line="276" w:lineRule="auto"/>
        <w:rPr>
          <w:rFonts w:asciiTheme="minorHAnsi" w:hAnsiTheme="minorHAnsi"/>
        </w:rPr>
      </w:pPr>
      <w:r w:rsidRPr="00237600">
        <w:rPr>
          <w:rFonts w:asciiTheme="minorHAnsi" w:hAnsiTheme="minorHAnsi"/>
        </w:rPr>
        <w:t xml:space="preserve">L’objectif de cette thèse s’inscrit dans la protection et la sauvegarde de l’environnement, </w:t>
      </w:r>
      <w:r w:rsidRPr="00237600">
        <w:rPr>
          <w:rFonts w:asciiTheme="minorHAnsi" w:eastAsia="Calibri" w:hAnsiTheme="minorHAnsi"/>
        </w:rPr>
        <w:t xml:space="preserve">d’une part, et la réduction de l’énergie conséquente, d’autre part. </w:t>
      </w:r>
      <w:r w:rsidRPr="00237600">
        <w:rPr>
          <w:rFonts w:asciiTheme="minorHAnsi" w:hAnsiTheme="minorHAnsi"/>
        </w:rPr>
        <w:t xml:space="preserve">Notre travail consiste à déterminer un outil d’analyse pour  modéliser le traitement biologique d’une station d’épuration par boue activée en utilisant un modèle </w:t>
      </w:r>
      <w:proofErr w:type="spellStart"/>
      <w:r w:rsidRPr="00237600">
        <w:rPr>
          <w:rFonts w:asciiTheme="minorHAnsi" w:hAnsiTheme="minorHAnsi"/>
        </w:rPr>
        <w:t>neuroflou</w:t>
      </w:r>
      <w:proofErr w:type="spellEnd"/>
      <w:r w:rsidRPr="00237600">
        <w:rPr>
          <w:rFonts w:asciiTheme="minorHAnsi" w:hAnsiTheme="minorHAnsi"/>
        </w:rPr>
        <w:t xml:space="preserve">, pour la description des phénomènes complexes et évolutifs, afin de déterminer les conditions optimales en vues de rationaliser le fonctionnement de la station. </w:t>
      </w:r>
    </w:p>
    <w:p w:rsidR="00F70F87" w:rsidRPr="00237600" w:rsidRDefault="00F70F87" w:rsidP="00F70F87">
      <w:pPr>
        <w:spacing w:line="276" w:lineRule="auto"/>
        <w:rPr>
          <w:rFonts w:asciiTheme="minorHAnsi" w:hAnsiTheme="minorHAnsi"/>
        </w:rPr>
      </w:pPr>
      <w:r w:rsidRPr="00237600">
        <w:rPr>
          <w:rFonts w:asciiTheme="minorHAnsi" w:hAnsiTheme="minorHAnsi"/>
        </w:rPr>
        <w:t>En premier lieu, l’application</w:t>
      </w:r>
      <w:bookmarkStart w:id="0" w:name="_GoBack"/>
      <w:bookmarkEnd w:id="0"/>
      <w:r w:rsidRPr="00237600">
        <w:rPr>
          <w:rFonts w:asciiTheme="minorHAnsi" w:hAnsiTheme="minorHAnsi"/>
        </w:rPr>
        <w:t xml:space="preserve"> de l’ACP nous a permis de réduire le nombre de variables jugées initialement déterminants pour le contrôle du processus d’épuration et, par voie de conséquence, la simplification du problème d’optimisation ainsi formulé. </w:t>
      </w:r>
    </w:p>
    <w:p w:rsidR="00F70F87" w:rsidRPr="00237600" w:rsidRDefault="00F70F87" w:rsidP="00F70F87">
      <w:pPr>
        <w:spacing w:line="276" w:lineRule="auto"/>
        <w:rPr>
          <w:rFonts w:asciiTheme="minorHAnsi" w:hAnsiTheme="minorHAnsi"/>
        </w:rPr>
      </w:pPr>
      <w:r w:rsidRPr="00237600">
        <w:rPr>
          <w:rFonts w:asciiTheme="minorHAnsi" w:hAnsiTheme="minorHAnsi"/>
        </w:rPr>
        <w:t xml:space="preserve">En deuxième lieu, Nous traitons le problème de construction des modèles flous à partir de données entrée-sortie. Nous introduisons d’abord la modélisation floue des systèmes, en nous focalisant particulièrement sur le modèle ANFIS de type </w:t>
      </w:r>
      <w:proofErr w:type="spellStart"/>
      <w:r w:rsidRPr="00237600">
        <w:rPr>
          <w:rFonts w:asciiTheme="minorHAnsi" w:hAnsiTheme="minorHAnsi"/>
        </w:rPr>
        <w:t>Takagi-Sugeno</w:t>
      </w:r>
      <w:proofErr w:type="spellEnd"/>
      <w:r w:rsidRPr="00237600">
        <w:rPr>
          <w:rFonts w:asciiTheme="minorHAnsi" w:hAnsiTheme="minorHAnsi"/>
        </w:rPr>
        <w:t>. Les paramètres à identifier sont de deux types : les paramètres d’entrée et les paramètres de sortie. Les paramètres d’entrée englobent les rendements d’élimination tels que : DBO</w:t>
      </w:r>
      <w:r w:rsidRPr="00237600">
        <w:rPr>
          <w:rFonts w:asciiTheme="minorHAnsi" w:hAnsiTheme="minorHAnsi"/>
          <w:vertAlign w:val="subscript"/>
        </w:rPr>
        <w:t>5</w:t>
      </w:r>
      <w:r w:rsidRPr="00237600">
        <w:rPr>
          <w:rFonts w:asciiTheme="minorHAnsi" w:hAnsiTheme="minorHAnsi"/>
        </w:rPr>
        <w:t>, DCO, MES et NH</w:t>
      </w:r>
      <w:r w:rsidRPr="00237600">
        <w:rPr>
          <w:rFonts w:asciiTheme="minorHAnsi" w:hAnsiTheme="minorHAnsi"/>
          <w:vertAlign w:val="subscript"/>
        </w:rPr>
        <w:t>4</w:t>
      </w:r>
      <w:r w:rsidRPr="00237600">
        <w:rPr>
          <w:rFonts w:asciiTheme="minorHAnsi" w:hAnsiTheme="minorHAnsi"/>
          <w:vertAlign w:val="superscript"/>
        </w:rPr>
        <w:t>+</w:t>
      </w:r>
      <w:r w:rsidRPr="00237600">
        <w:rPr>
          <w:rFonts w:asciiTheme="minorHAnsi" w:hAnsiTheme="minorHAnsi"/>
        </w:rPr>
        <w:t>. Le paramètre de sortie (de décision) relatif aux processus de dépollution permettant l’appréciation du fonctionnement de la station d’épuration est l’énergie nécessaire à fournir pour atteindre les objectifs de traitement. En effet, à partir de l’historique des valeurs des rendements observées des paramètres DBO, DCO et MES en fonction du paramètre de décision « l’énergie consommée » pendant la période d’apprentissage, une prédiction de ce dernier pendant la période de validation. Enfin, nous terminons notre étude par une réduction de l’énergie de 18,1</w:t>
      </w:r>
      <w:proofErr w:type="gramStart"/>
      <w:r w:rsidRPr="00237600">
        <w:rPr>
          <w:rFonts w:asciiTheme="minorHAnsi" w:hAnsiTheme="minorHAnsi"/>
        </w:rPr>
        <w:t xml:space="preserve">% </w:t>
      </w:r>
      <w:r>
        <w:rPr>
          <w:rFonts w:asciiTheme="minorHAnsi" w:hAnsiTheme="minorHAnsi"/>
        </w:rPr>
        <w:t>.</w:t>
      </w:r>
      <w:proofErr w:type="gramEnd"/>
    </w:p>
    <w:p w:rsidR="00D36485" w:rsidRDefault="00D36485"/>
    <w:sectPr w:rsidR="00D364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F87"/>
    <w:rsid w:val="00D36485"/>
    <w:rsid w:val="00F70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F87"/>
    <w:pPr>
      <w:spacing w:before="120" w:after="120" w:line="312" w:lineRule="auto"/>
      <w:ind w:firstLine="567"/>
      <w:jc w:val="both"/>
    </w:pPr>
    <w:rPr>
      <w:rFonts w:ascii="Calibri" w:eastAsia="Times New Roman" w:hAnsi="Calibri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0F87"/>
    <w:pPr>
      <w:spacing w:before="120" w:after="120" w:line="312" w:lineRule="auto"/>
      <w:ind w:firstLine="567"/>
      <w:jc w:val="both"/>
    </w:pPr>
    <w:rPr>
      <w:rFonts w:ascii="Calibri" w:eastAsia="Times New Roman" w:hAnsi="Calibri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 Pro</dc:creator>
  <cp:lastModifiedBy>7 Pro</cp:lastModifiedBy>
  <cp:revision>1</cp:revision>
  <dcterms:created xsi:type="dcterms:W3CDTF">2016-05-29T18:43:00Z</dcterms:created>
  <dcterms:modified xsi:type="dcterms:W3CDTF">2016-05-29T18:43:00Z</dcterms:modified>
</cp:coreProperties>
</file>