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76D7" w:rsidRDefault="004E76D7" w:rsidP="004E76D7">
      <w:r>
        <w:t xml:space="preserve">Sur un total de 4440 charges virales effectuées entre 2006 et 2008, nous avons 310 nouveaux cas dépistés au niveau des différents centres et services de l'EHS El Hadi </w:t>
      </w:r>
      <w:proofErr w:type="spellStart"/>
      <w:r>
        <w:t>Flici</w:t>
      </w:r>
      <w:proofErr w:type="spellEnd"/>
      <w:r>
        <w:t>. Sur les 310 malades, nous avons 216 mis sous traitement et suivi régulièrement.</w:t>
      </w:r>
    </w:p>
    <w:p w:rsidR="004E76D7" w:rsidRDefault="004E76D7" w:rsidP="004E76D7">
      <w:r>
        <w:t xml:space="preserve">Dans un premier temps nous avons mesuré la charge virale initiale pour ces nouveaux  malades avant leur mise sous traitement (malades naïfs). Une deuxième charge virale est pratiquée à un mois après la mise sous traitement. Le suivi des malades se fait ensuite tous les trois mois, parallèlement l'évaluation du système immunitaire est contrôlée par la mesure du taux des lymphocytes CD4+ par la technique de </w:t>
      </w:r>
      <w:proofErr w:type="spellStart"/>
      <w:r>
        <w:t>Cytométrie</w:t>
      </w:r>
      <w:proofErr w:type="spellEnd"/>
      <w:r>
        <w:t xml:space="preserve"> en flux.</w:t>
      </w:r>
    </w:p>
    <w:p w:rsidR="004E76D7" w:rsidRDefault="004E76D7" w:rsidP="004E76D7">
      <w:r>
        <w:t>La charge virale plasmatique est mesurée par la technique de RT-PCR (</w:t>
      </w:r>
      <w:proofErr w:type="spellStart"/>
      <w:r>
        <w:t>Polymerase</w:t>
      </w:r>
      <w:proofErr w:type="spellEnd"/>
      <w:r>
        <w:t xml:space="preserve"> Chain </w:t>
      </w:r>
      <w:proofErr w:type="spellStart"/>
      <w:r>
        <w:t>Reaction</w:t>
      </w:r>
      <w:proofErr w:type="spellEnd"/>
      <w:r>
        <w:t xml:space="preserve">) sur le </w:t>
      </w:r>
      <w:proofErr w:type="spellStart"/>
      <w:r>
        <w:t>thermocycleur</w:t>
      </w:r>
      <w:proofErr w:type="spellEnd"/>
      <w:r>
        <w:t xml:space="preserve"> </w:t>
      </w:r>
      <w:proofErr w:type="spellStart"/>
      <w:r>
        <w:t>Cobas</w:t>
      </w:r>
      <w:proofErr w:type="spellEnd"/>
      <w:r>
        <w:t xml:space="preserve"> </w:t>
      </w:r>
      <w:proofErr w:type="spellStart"/>
      <w:r>
        <w:t>Amplicor</w:t>
      </w:r>
      <w:proofErr w:type="spellEnd"/>
      <w:r>
        <w:t xml:space="preserve"> avec la tousse </w:t>
      </w:r>
      <w:proofErr w:type="spellStart"/>
      <w:r>
        <w:t>Cobas</w:t>
      </w:r>
      <w:proofErr w:type="spellEnd"/>
      <w:r>
        <w:t xml:space="preserve"> </w:t>
      </w:r>
      <w:proofErr w:type="spellStart"/>
      <w:r>
        <w:t>Amplicor</w:t>
      </w:r>
      <w:proofErr w:type="spellEnd"/>
      <w:r>
        <w:t xml:space="preserve"> HIM Monitor procédure standard.</w:t>
      </w:r>
    </w:p>
    <w:p w:rsidR="004E76D7" w:rsidRDefault="004E76D7" w:rsidP="004E76D7">
      <w:r>
        <w:t xml:space="preserve">Le taux de CD4 est mesuré par la technique de </w:t>
      </w:r>
      <w:proofErr w:type="spellStart"/>
      <w:r>
        <w:t>Cytométrie</w:t>
      </w:r>
      <w:proofErr w:type="spellEnd"/>
      <w:r>
        <w:t xml:space="preserve"> en flux sur le système FACSCOUNT de </w:t>
      </w:r>
      <w:proofErr w:type="spellStart"/>
      <w:r>
        <w:t>Becton</w:t>
      </w:r>
      <w:proofErr w:type="spellEnd"/>
      <w:r>
        <w:t xml:space="preserve"> Dickinson.</w:t>
      </w:r>
    </w:p>
    <w:p w:rsidR="004E76D7" w:rsidRDefault="004E76D7" w:rsidP="004E76D7">
      <w:r>
        <w:t>D'après la mesure de la charge virale initiale des malades récemment dépistés, nous constatons que 44% des malades ont une charge virale plasmatique supérieure à 100 000 copies/ml tandis que leur taux de CD4 est généralement inférieur à 200 cellules/mm³, car les malades sont généralement dépistés au stade SIDA de la maladie à l'occasion de survenue de maladies opportunistes telle que la tuberculose, cryptococcose, candidoses…..</w:t>
      </w:r>
    </w:p>
    <w:p w:rsidR="004E76D7" w:rsidRDefault="004E76D7" w:rsidP="004E76D7">
      <w:r>
        <w:t>A un mois de traitement antirétroviral, nous remarquons que la plupart des malades répondent très bien au traitement dans 91.2% des cas d'évolution favorable où la charge virale devient soit  indétectable (62.03%) ou diminue de plus d'un log (29.16%), contre 8.79% d'évolution défavorable où la charge virale soit augmente soit ne diminue pas de plus d'un demi log.</w:t>
      </w:r>
    </w:p>
    <w:p w:rsidR="004E76D7" w:rsidRDefault="004E76D7" w:rsidP="004E76D7">
      <w:r>
        <w:t>Nos résultats, appuyés par des tests statistiques ont montré que la réponse aux antirétroviraux de première ligne est similaire à la réponse aux antirétroviraux de deuxième ligne à un mois de traitement.</w:t>
      </w:r>
    </w:p>
    <w:p w:rsidR="004E76D7" w:rsidRDefault="004E76D7" w:rsidP="004E76D7">
      <w:r>
        <w:t>Au cours du suivi, nous avons 79,63% de malades en succès virologique et 20,37% de malades en échecs virologiques.</w:t>
      </w:r>
    </w:p>
    <w:p w:rsidR="004E76D7" w:rsidRDefault="004E76D7" w:rsidP="004E76D7">
      <w:r>
        <w:t xml:space="preserve">Nous constatons que les malades sous ARV de deuxième ligne présentent plus d'échecs virologiques (25,83% sur le total des malades sous ARV de deuxième intention) que les malades sous ARV de première ligne (16,53% sur le total des malades sous ARV de première intention). </w:t>
      </w:r>
    </w:p>
    <w:p w:rsidR="004E76D7" w:rsidRDefault="004E76D7" w:rsidP="004E76D7">
      <w:r>
        <w:t>Les malades dont la charge virale initiale est faible (&lt;100 000 copies/ml) présentent moins d'échecs (avec une moyenne de &lt;4% d'échecs) que les malades dont la charge virale initiale est forte &gt; 100 000 copies/ml (avec une moyenne &gt;5% d'échecs) d'où l'importance de la précocité du traitement.</w:t>
      </w:r>
    </w:p>
    <w:p w:rsidR="00417B34" w:rsidRPr="004E76D7" w:rsidRDefault="004E76D7" w:rsidP="004E76D7">
      <w:r>
        <w:t xml:space="preserve">Les malades qui évoluent favorablement à un mois de traitement présentent moins d'échecs (34,93% du total des malades qui ont bien évolué) que ceux qui évoluent défavorablement à </w:t>
      </w:r>
      <w:r>
        <w:lastRenderedPageBreak/>
        <w:t>un mois de traitement (68,42% du total des malades qui ont évolué défavorablement) ce qui plaide encore en faveur d'une mise sous traitement précoce.</w:t>
      </w:r>
    </w:p>
    <w:sectPr w:rsidR="00417B34" w:rsidRPr="004E76D7" w:rsidSect="00417B3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D3F3E"/>
    <w:rsid w:val="000E0F8E"/>
    <w:rsid w:val="00417B34"/>
    <w:rsid w:val="0045694D"/>
    <w:rsid w:val="0047603E"/>
    <w:rsid w:val="004E76D7"/>
    <w:rsid w:val="0073521A"/>
    <w:rsid w:val="00827D18"/>
    <w:rsid w:val="00C80AA5"/>
    <w:rsid w:val="00E50CE5"/>
    <w:rsid w:val="00ED3F3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7B3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2</Pages>
  <Words>461</Words>
  <Characters>2539</Characters>
  <Application>Microsoft Office Word</Application>
  <DocSecurity>0</DocSecurity>
  <Lines>21</Lines>
  <Paragraphs>5</Paragraphs>
  <ScaleCrop>false</ScaleCrop>
  <Company/>
  <LinksUpToDate>false</LinksUpToDate>
  <CharactersWithSpaces>2995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cp:revision>
  <dcterms:created xsi:type="dcterms:W3CDTF">2015-03-22T09:17:00Z</dcterms:created>
  <dcterms:modified xsi:type="dcterms:W3CDTF">2015-03-22T13:27:00Z</dcterms:modified>
</cp:coreProperties>
</file>