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4802" w:rsidRPr="00B74802" w:rsidRDefault="00B74802" w:rsidP="00B74802">
      <w:pPr>
        <w:bidi w:val="0"/>
        <w:rPr>
          <w:lang w:val="fr-FR" w:bidi="ar-DZ"/>
        </w:rPr>
      </w:pPr>
      <w:r w:rsidRPr="00B74802">
        <w:rPr>
          <w:lang w:val="fr-FR" w:bidi="ar-DZ"/>
        </w:rPr>
        <w:t xml:space="preserve">  Le polyéthylène téréphtalate (PET) est un polyester synthétique qui  présente une très bonne barrière face</w:t>
      </w:r>
    </w:p>
    <w:p w:rsidR="00B74802" w:rsidRPr="00B74802" w:rsidRDefault="00B74802" w:rsidP="00B74802">
      <w:pPr>
        <w:bidi w:val="0"/>
        <w:rPr>
          <w:lang w:val="fr-FR" w:bidi="ar-DZ"/>
        </w:rPr>
      </w:pPr>
      <w:r w:rsidRPr="00B74802">
        <w:rPr>
          <w:lang w:val="fr-FR" w:bidi="ar-DZ"/>
        </w:rPr>
        <w:t xml:space="preserve"> aux gaz, une capacité de résistance assez élevée face aux huiles minérales, solvants et acides et qui </w:t>
      </w:r>
    </w:p>
    <w:p w:rsidR="00B74802" w:rsidRPr="00B74802" w:rsidRDefault="00B74802" w:rsidP="00B74802">
      <w:pPr>
        <w:bidi w:val="0"/>
        <w:rPr>
          <w:lang w:val="fr-FR" w:bidi="ar-DZ"/>
        </w:rPr>
      </w:pPr>
      <w:r w:rsidRPr="00B74802">
        <w:rPr>
          <w:lang w:val="fr-FR" w:bidi="ar-DZ"/>
        </w:rPr>
        <w:t xml:space="preserve"> possède aussi de très bonnes caractéristiques d’usinabilité. Sa compatibilité de contact avec les aliments en</w:t>
      </w:r>
    </w:p>
    <w:p w:rsidR="00B74802" w:rsidRPr="00B74802" w:rsidRDefault="00B74802" w:rsidP="00B74802">
      <w:pPr>
        <w:bidi w:val="0"/>
        <w:rPr>
          <w:lang w:val="fr-FR" w:bidi="ar-DZ"/>
        </w:rPr>
      </w:pPr>
      <w:r w:rsidRPr="00B74802">
        <w:rPr>
          <w:lang w:val="fr-FR" w:bidi="ar-DZ"/>
        </w:rPr>
        <w:t xml:space="preserve"> font un matériau idéal pour l’équipement alimentaire.</w:t>
      </w:r>
    </w:p>
    <w:p w:rsidR="00B74802" w:rsidRPr="00B74802" w:rsidRDefault="00B74802" w:rsidP="00B74802">
      <w:pPr>
        <w:bidi w:val="0"/>
        <w:rPr>
          <w:lang w:val="fr-FR" w:bidi="ar-DZ"/>
        </w:rPr>
      </w:pPr>
      <w:r w:rsidRPr="00B74802">
        <w:rPr>
          <w:lang w:val="fr-FR" w:bidi="ar-DZ"/>
        </w:rPr>
        <w:t xml:space="preserve">   Dans le cadre de ce travail, nous nous proposons d’élaborer, par voie fondue, des nanocomposites à base</w:t>
      </w:r>
    </w:p>
    <w:p w:rsidR="00B74802" w:rsidRPr="00B74802" w:rsidRDefault="00B74802" w:rsidP="00B74802">
      <w:pPr>
        <w:bidi w:val="0"/>
        <w:rPr>
          <w:lang w:val="fr-FR" w:bidi="ar-DZ"/>
        </w:rPr>
      </w:pPr>
      <w:r w:rsidRPr="00B74802">
        <w:rPr>
          <w:lang w:val="fr-FR" w:bidi="ar-DZ"/>
        </w:rPr>
        <w:t xml:space="preserve"> de poly (éthylène téréphtalate) PET, utilisant deux types de nanocharge à savoir la maghnite organomodifiée</w:t>
      </w:r>
    </w:p>
    <w:p w:rsidR="00B74802" w:rsidRPr="00B74802" w:rsidRDefault="00B74802" w:rsidP="00B74802">
      <w:pPr>
        <w:bidi w:val="0"/>
        <w:rPr>
          <w:lang w:val="fr-FR" w:bidi="ar-DZ"/>
        </w:rPr>
      </w:pPr>
      <w:r w:rsidRPr="00B74802">
        <w:rPr>
          <w:lang w:val="fr-FR" w:bidi="ar-DZ"/>
        </w:rPr>
        <w:t xml:space="preserve"> par le tetraphenyl phosphonium OMMT et la cloisite 30B.</w:t>
      </w:r>
    </w:p>
    <w:p w:rsidR="00B74802" w:rsidRPr="00B74802" w:rsidRDefault="00B74802" w:rsidP="00B74802">
      <w:pPr>
        <w:bidi w:val="0"/>
        <w:rPr>
          <w:lang w:val="fr-FR" w:bidi="ar-DZ"/>
        </w:rPr>
      </w:pPr>
      <w:r w:rsidRPr="00B74802">
        <w:rPr>
          <w:lang w:val="fr-FR" w:bidi="ar-DZ"/>
        </w:rPr>
        <w:t xml:space="preserve">   La première étape de ce travail a été consacrée à l’organomodification de la maghnite utilisant des</w:t>
      </w:r>
    </w:p>
    <w:p w:rsidR="00B74802" w:rsidRPr="00B74802" w:rsidRDefault="00B74802" w:rsidP="00B74802">
      <w:pPr>
        <w:bidi w:val="0"/>
        <w:rPr>
          <w:lang w:val="fr-FR" w:bidi="ar-DZ"/>
        </w:rPr>
      </w:pPr>
      <w:r w:rsidRPr="00B74802">
        <w:rPr>
          <w:lang w:val="fr-FR" w:bidi="ar-DZ"/>
        </w:rPr>
        <w:t xml:space="preserve"> surfactants de nature différentes (sels d’alkyle ammonium et de phosphonium). Les argiles organophiles</w:t>
      </w:r>
    </w:p>
    <w:p w:rsidR="00B74802" w:rsidRPr="00B74802" w:rsidRDefault="00B74802" w:rsidP="00B74802">
      <w:pPr>
        <w:bidi w:val="0"/>
        <w:rPr>
          <w:lang w:val="fr-FR" w:bidi="ar-DZ"/>
        </w:rPr>
      </w:pPr>
      <w:r w:rsidRPr="00B74802">
        <w:rPr>
          <w:lang w:val="fr-FR" w:bidi="ar-DZ"/>
        </w:rPr>
        <w:t xml:space="preserve"> obtenues ont été caractérisées par spectroscopie FTIR, par diffraction de rayons X et par analyse</w:t>
      </w:r>
    </w:p>
    <w:p w:rsidR="00B74802" w:rsidRPr="00B74802" w:rsidRDefault="00B74802" w:rsidP="00B74802">
      <w:pPr>
        <w:bidi w:val="0"/>
        <w:rPr>
          <w:lang w:val="fr-FR" w:bidi="ar-DZ"/>
        </w:rPr>
      </w:pPr>
      <w:r w:rsidRPr="00B74802">
        <w:rPr>
          <w:lang w:val="fr-FR" w:bidi="ar-DZ"/>
        </w:rPr>
        <w:t xml:space="preserve"> thermogravimétrique ATG. Ces techniques ont toutes confirmé l’intercalation du surfactant entre les feuillets</w:t>
      </w:r>
    </w:p>
    <w:p w:rsidR="00B74802" w:rsidRPr="00B74802" w:rsidRDefault="00B74802" w:rsidP="00B74802">
      <w:pPr>
        <w:bidi w:val="0"/>
        <w:rPr>
          <w:lang w:val="fr-FR" w:bidi="ar-DZ"/>
        </w:rPr>
      </w:pPr>
      <w:r w:rsidRPr="00B74802">
        <w:rPr>
          <w:lang w:val="fr-FR" w:bidi="ar-DZ"/>
        </w:rPr>
        <w:t xml:space="preserve"> de l’argile.</w:t>
      </w:r>
    </w:p>
    <w:p w:rsidR="00B74802" w:rsidRPr="00B74802" w:rsidRDefault="00B74802" w:rsidP="00B74802">
      <w:pPr>
        <w:bidi w:val="0"/>
        <w:rPr>
          <w:lang w:val="fr-FR" w:bidi="ar-DZ"/>
        </w:rPr>
      </w:pPr>
      <w:r w:rsidRPr="00B74802">
        <w:rPr>
          <w:lang w:val="fr-FR" w:bidi="ar-DZ"/>
        </w:rPr>
        <w:t xml:space="preserve">   Dans la seconde étape, nous avons réalisé par voie fondue des nanocomposites utilisant la cloisite 30B ou</w:t>
      </w:r>
    </w:p>
    <w:p w:rsidR="00B74802" w:rsidRPr="00B74802" w:rsidRDefault="00B74802" w:rsidP="00B74802">
      <w:pPr>
        <w:bidi w:val="0"/>
        <w:rPr>
          <w:lang w:val="fr-FR" w:bidi="ar-DZ"/>
        </w:rPr>
      </w:pPr>
      <w:r w:rsidRPr="00B74802">
        <w:rPr>
          <w:lang w:val="fr-FR" w:bidi="ar-DZ"/>
        </w:rPr>
        <w:t xml:space="preserve"> la maghnite organopghile la plus stable thermiquement. La morphologie des nanocomposites obtenus a été </w:t>
      </w:r>
    </w:p>
    <w:p w:rsidR="00B74802" w:rsidRPr="00B74802" w:rsidRDefault="00B74802" w:rsidP="00B74802">
      <w:pPr>
        <w:bidi w:val="0"/>
        <w:rPr>
          <w:lang w:val="fr-FR" w:bidi="ar-DZ"/>
        </w:rPr>
      </w:pPr>
      <w:r w:rsidRPr="00B74802">
        <w:rPr>
          <w:lang w:val="fr-FR" w:bidi="ar-DZ"/>
        </w:rPr>
        <w:t xml:space="preserve"> examinée par spectroscopie FTIR, par diffraction de RX, par microanalyse EDAX. Toutes ces techniques ont </w:t>
      </w:r>
    </w:p>
    <w:p w:rsidR="00B74802" w:rsidRPr="00B74802" w:rsidRDefault="00B74802" w:rsidP="00B74802">
      <w:pPr>
        <w:bidi w:val="0"/>
        <w:rPr>
          <w:lang w:val="fr-FR" w:bidi="ar-DZ"/>
        </w:rPr>
      </w:pPr>
      <w:r w:rsidRPr="00B74802">
        <w:rPr>
          <w:lang w:val="fr-FR" w:bidi="ar-DZ"/>
        </w:rPr>
        <w:t xml:space="preserve"> confirmé la présence de la nanocharge au sein de la matrice polymérique. Des structures plutôt intercalées</w:t>
      </w:r>
    </w:p>
    <w:p w:rsidR="00B74802" w:rsidRPr="00B74802" w:rsidRDefault="00B74802" w:rsidP="00B74802">
      <w:pPr>
        <w:bidi w:val="0"/>
        <w:rPr>
          <w:lang w:val="fr-FR" w:bidi="ar-DZ"/>
        </w:rPr>
      </w:pPr>
      <w:r w:rsidRPr="00B74802">
        <w:rPr>
          <w:lang w:val="fr-FR" w:bidi="ar-DZ"/>
        </w:rPr>
        <w:t xml:space="preserve"> ont été obtenues.</w:t>
      </w:r>
    </w:p>
    <w:p w:rsidR="00B74802" w:rsidRPr="00B74802" w:rsidRDefault="00B74802" w:rsidP="00B74802">
      <w:pPr>
        <w:bidi w:val="0"/>
        <w:rPr>
          <w:lang w:val="fr-FR" w:bidi="ar-DZ"/>
        </w:rPr>
      </w:pPr>
      <w:r w:rsidRPr="00B74802">
        <w:rPr>
          <w:lang w:val="fr-FR" w:bidi="ar-DZ"/>
        </w:rPr>
        <w:t xml:space="preserve">   Dans une dernière étape, nous avons examiné les propriétés thermiques des nanocomposites après ajout de</w:t>
      </w:r>
    </w:p>
    <w:p w:rsidR="00B74802" w:rsidRPr="00B74802" w:rsidRDefault="00B74802" w:rsidP="00B74802">
      <w:pPr>
        <w:bidi w:val="0"/>
        <w:rPr>
          <w:lang w:val="fr-FR" w:bidi="ar-DZ"/>
        </w:rPr>
      </w:pPr>
      <w:r w:rsidRPr="00B74802">
        <w:rPr>
          <w:lang w:val="fr-FR" w:bidi="ar-DZ"/>
        </w:rPr>
        <w:lastRenderedPageBreak/>
        <w:t xml:space="preserve"> l’argile. En effet, l’étude menée par analyse enthalpique différentielle a confirmé le  rôle d’agent de</w:t>
      </w:r>
    </w:p>
    <w:p w:rsidR="00B74802" w:rsidRPr="00B74802" w:rsidRDefault="00B74802" w:rsidP="00B74802">
      <w:pPr>
        <w:bidi w:val="0"/>
        <w:rPr>
          <w:lang w:val="fr-FR" w:bidi="ar-DZ"/>
        </w:rPr>
      </w:pPr>
      <w:r w:rsidRPr="00B74802">
        <w:rPr>
          <w:lang w:val="fr-FR" w:bidi="ar-DZ"/>
        </w:rPr>
        <w:t xml:space="preserve"> nucléation hétérogène que présente la montmorillonite à la surface du PET. </w:t>
      </w:r>
    </w:p>
    <w:p w:rsidR="00B74802" w:rsidRPr="00B74802" w:rsidRDefault="00B74802" w:rsidP="00B74802">
      <w:pPr>
        <w:bidi w:val="0"/>
        <w:rPr>
          <w:lang w:val="fr-FR" w:bidi="ar-DZ"/>
        </w:rPr>
      </w:pPr>
      <w:r w:rsidRPr="00B74802">
        <w:rPr>
          <w:lang w:val="fr-FR" w:bidi="ar-DZ"/>
        </w:rPr>
        <w:t xml:space="preserve">   Enfin l’étude de la cinétique de dégradation menée par analyse thermogravimétrique, a permis de mettre en</w:t>
      </w:r>
    </w:p>
    <w:p w:rsidR="00B74802" w:rsidRPr="00B74802" w:rsidRDefault="00B74802" w:rsidP="00B74802">
      <w:pPr>
        <w:bidi w:val="0"/>
        <w:rPr>
          <w:lang w:val="fr-FR" w:bidi="ar-DZ"/>
        </w:rPr>
      </w:pPr>
      <w:r w:rsidRPr="00B74802">
        <w:rPr>
          <w:lang w:val="fr-FR" w:bidi="ar-DZ"/>
        </w:rPr>
        <w:t xml:space="preserve"> évidence l’effet barrière de la maghnite ou de la cloisite 30B. Une amélioration de la stabilité thermique des</w:t>
      </w:r>
    </w:p>
    <w:p w:rsidR="00B74802" w:rsidRPr="00B74802" w:rsidRDefault="00B74802" w:rsidP="00B74802">
      <w:pPr>
        <w:bidi w:val="0"/>
        <w:rPr>
          <w:lang w:val="fr-FR" w:bidi="ar-DZ"/>
        </w:rPr>
      </w:pPr>
      <w:r w:rsidRPr="00B74802">
        <w:rPr>
          <w:lang w:val="fr-FR" w:bidi="ar-DZ"/>
        </w:rPr>
        <w:t xml:space="preserve"> nanocomposites est notée comparativement au PET pur. Les valeurs des énergies d’activation des réactions</w:t>
      </w:r>
    </w:p>
    <w:p w:rsidR="00B74802" w:rsidRPr="00B74802" w:rsidRDefault="00B74802" w:rsidP="00B74802">
      <w:pPr>
        <w:bidi w:val="0"/>
        <w:rPr>
          <w:lang w:val="fr-FR" w:bidi="ar-DZ"/>
        </w:rPr>
      </w:pPr>
      <w:r w:rsidRPr="00B74802">
        <w:rPr>
          <w:lang w:val="fr-FR" w:bidi="ar-DZ"/>
        </w:rPr>
        <w:t xml:space="preserve"> de décomposition du PET, calculées à partir des méthodes d’Ozawa et Kissinger, sont supérieures à celle du</w:t>
      </w:r>
    </w:p>
    <w:p w:rsidR="000868C9" w:rsidRPr="00B74802" w:rsidRDefault="00B74802" w:rsidP="00B74802">
      <w:pPr>
        <w:bidi w:val="0"/>
        <w:rPr>
          <w:rFonts w:hint="cs"/>
          <w:lang w:val="fr-FR" w:bidi="ar-DZ"/>
        </w:rPr>
      </w:pPr>
      <w:r w:rsidRPr="00B74802">
        <w:rPr>
          <w:lang w:val="fr-FR" w:bidi="ar-DZ"/>
        </w:rPr>
        <w:t xml:space="preserve"> PET vierge.</w:t>
      </w:r>
    </w:p>
    <w:sectPr w:rsidR="000868C9" w:rsidRPr="00B74802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B74802"/>
    <w:rsid w:val="000868C9"/>
    <w:rsid w:val="005F47AF"/>
    <w:rsid w:val="00B748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68C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338</Words>
  <Characters>1930</Characters>
  <Application>Microsoft Office Word</Application>
  <DocSecurity>0</DocSecurity>
  <Lines>16</Lines>
  <Paragraphs>4</Paragraphs>
  <ScaleCrop>false</ScaleCrop>
  <Company/>
  <LinksUpToDate>false</LinksUpToDate>
  <CharactersWithSpaces>2264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2015-11-03T14:24:00Z</dcterms:created>
  <dcterms:modified xsi:type="dcterms:W3CDTF">2015-11-03T14:25:00Z</dcterms:modified>
</cp:coreProperties>
</file>