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1D8" w:rsidRPr="001101D8" w:rsidRDefault="001101D8" w:rsidP="001101D8">
      <w:pPr>
        <w:spacing w:after="0" w:line="360" w:lineRule="auto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101D8">
        <w:rPr>
          <w:rFonts w:ascii="Times New Roman" w:hAnsi="Times New Roman" w:cs="Times New Roman"/>
          <w:b/>
          <w:bCs/>
          <w:i/>
          <w:sz w:val="24"/>
          <w:szCs w:val="24"/>
        </w:rPr>
        <w:t>Résumé</w:t>
      </w:r>
    </w:p>
    <w:p w:rsidR="001101D8" w:rsidRPr="001101D8" w:rsidRDefault="001101D8" w:rsidP="001101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101D8">
        <w:rPr>
          <w:rFonts w:ascii="Times New Roman" w:hAnsi="Times New Roman" w:cs="Times New Roman"/>
          <w:sz w:val="24"/>
          <w:szCs w:val="24"/>
        </w:rPr>
        <w:t xml:space="preserve">Ce travail  a été consacré à la valorisation et la caractérisation 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  des huiles essentielles (</w:t>
      </w:r>
      <w:proofErr w:type="spellStart"/>
      <w:r w:rsidRPr="001101D8">
        <w:rPr>
          <w:rFonts w:ascii="Times New Roman" w:hAnsi="Times New Roman" w:cs="Times New Roman"/>
          <w:bCs/>
          <w:sz w:val="24"/>
          <w:szCs w:val="24"/>
        </w:rPr>
        <w:t>HEs</w:t>
      </w:r>
      <w:proofErr w:type="spellEnd"/>
      <w:r w:rsidRPr="001101D8">
        <w:rPr>
          <w:rFonts w:ascii="Times New Roman" w:hAnsi="Times New Roman" w:cs="Times New Roman"/>
          <w:bCs/>
          <w:sz w:val="24"/>
          <w:szCs w:val="24"/>
        </w:rPr>
        <w:t>) extraites des graines sèches de deux espèces de Fenouil Algérien (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Foeniculum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Mill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Var 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 et  </w:t>
      </w:r>
      <w:proofErr w:type="spellStart"/>
      <w:r w:rsidRPr="001101D8">
        <w:rPr>
          <w:rFonts w:ascii="Times New Roman" w:hAnsi="Times New Roman" w:cs="Times New Roman"/>
          <w:i/>
          <w:iCs/>
          <w:sz w:val="24"/>
          <w:szCs w:val="24"/>
        </w:rPr>
        <w:t>Foeniculum</w:t>
      </w:r>
      <w:proofErr w:type="spellEnd"/>
      <w:r w:rsidRPr="001101D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101D8">
        <w:rPr>
          <w:rFonts w:ascii="Times New Roman" w:hAnsi="Times New Roman" w:cs="Times New Roman"/>
          <w:i/>
          <w:iCs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i/>
          <w:iCs/>
          <w:sz w:val="24"/>
          <w:szCs w:val="24"/>
        </w:rPr>
        <w:t xml:space="preserve"> var. </w:t>
      </w:r>
      <w:proofErr w:type="spellStart"/>
      <w:r w:rsidRPr="001101D8">
        <w:rPr>
          <w:rFonts w:ascii="Times New Roman" w:hAnsi="Times New Roman" w:cs="Times New Roman"/>
          <w:i/>
          <w:sz w:val="24"/>
          <w:szCs w:val="24"/>
        </w:rPr>
        <w:t>dulce</w:t>
      </w:r>
      <w:proofErr w:type="spellEnd"/>
      <w:r w:rsidRPr="001101D8">
        <w:rPr>
          <w:rFonts w:ascii="Times New Roman" w:hAnsi="Times New Roman" w:cs="Times New Roman"/>
          <w:i/>
          <w:sz w:val="24"/>
          <w:szCs w:val="24"/>
        </w:rPr>
        <w:t>).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 L’extraction  des </w:t>
      </w:r>
      <w:proofErr w:type="spellStart"/>
      <w:r w:rsidRPr="001101D8">
        <w:rPr>
          <w:rFonts w:ascii="Times New Roman" w:hAnsi="Times New Roman" w:cs="Times New Roman"/>
          <w:bCs/>
          <w:sz w:val="24"/>
          <w:szCs w:val="24"/>
        </w:rPr>
        <w:t>HEs</w:t>
      </w:r>
      <w:proofErr w:type="spellEnd"/>
      <w:r w:rsidRPr="001101D8">
        <w:rPr>
          <w:rFonts w:ascii="Times New Roman" w:hAnsi="Times New Roman" w:cs="Times New Roman"/>
          <w:bCs/>
          <w:sz w:val="24"/>
          <w:szCs w:val="24"/>
        </w:rPr>
        <w:t xml:space="preserve"> a  été réalisée  par  hydrodistillation de type Clevenger, pour trois temps d’extraction différents pour chaque espèce. Les </w:t>
      </w:r>
      <w:proofErr w:type="spellStart"/>
      <w:r w:rsidRPr="001101D8">
        <w:rPr>
          <w:rFonts w:ascii="Times New Roman" w:hAnsi="Times New Roman" w:cs="Times New Roman"/>
          <w:bCs/>
          <w:sz w:val="24"/>
          <w:szCs w:val="24"/>
        </w:rPr>
        <w:t>HEs</w:t>
      </w:r>
      <w:proofErr w:type="spellEnd"/>
      <w:r w:rsidRPr="001101D8">
        <w:rPr>
          <w:rFonts w:ascii="Times New Roman" w:hAnsi="Times New Roman" w:cs="Times New Roman"/>
          <w:bCs/>
          <w:sz w:val="24"/>
          <w:szCs w:val="24"/>
        </w:rPr>
        <w:t xml:space="preserve"> ont montré une richesse en composés chimiques pour les deux espèces. </w:t>
      </w:r>
      <w:r w:rsidRPr="001101D8">
        <w:rPr>
          <w:rFonts w:ascii="Times New Roman" w:hAnsi="Times New Roman" w:cs="Times New Roman"/>
          <w:sz w:val="24"/>
          <w:szCs w:val="24"/>
        </w:rPr>
        <w:t xml:space="preserve">Pour la variété </w:t>
      </w:r>
      <w:proofErr w:type="spellStart"/>
      <w:r w:rsidRPr="001101D8">
        <w:rPr>
          <w:rFonts w:ascii="Times New Roman" w:hAnsi="Times New Roman" w:cs="Times New Roman"/>
          <w:i/>
          <w:iCs/>
          <w:sz w:val="24"/>
          <w:szCs w:val="24"/>
        </w:rPr>
        <w:t>Foeniculum</w:t>
      </w:r>
      <w:proofErr w:type="spellEnd"/>
      <w:r w:rsidRPr="001101D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101D8">
        <w:rPr>
          <w:rFonts w:ascii="Times New Roman" w:hAnsi="Times New Roman" w:cs="Times New Roman"/>
          <w:i/>
          <w:iCs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i/>
          <w:iCs/>
          <w:sz w:val="24"/>
          <w:szCs w:val="24"/>
        </w:rPr>
        <w:t xml:space="preserve"> var. </w:t>
      </w:r>
      <w:proofErr w:type="spellStart"/>
      <w:r w:rsidRPr="001101D8">
        <w:rPr>
          <w:rFonts w:ascii="Times New Roman" w:hAnsi="Times New Roman" w:cs="Times New Roman"/>
          <w:i/>
          <w:sz w:val="24"/>
          <w:szCs w:val="24"/>
        </w:rPr>
        <w:t>dulce</w:t>
      </w:r>
      <w:proofErr w:type="spellEnd"/>
      <w:r w:rsidRPr="001101D8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1101D8">
        <w:rPr>
          <w:rFonts w:ascii="Times New Roman" w:hAnsi="Times New Roman" w:cs="Times New Roman"/>
          <w:sz w:val="24"/>
          <w:szCs w:val="24"/>
        </w:rPr>
        <w:t>trans</w:t>
      </w:r>
      <w:proofErr w:type="spellEnd"/>
      <w:r w:rsidRPr="001101D8">
        <w:rPr>
          <w:rFonts w:ascii="Times New Roman" w:hAnsi="Times New Roman" w:cs="Times New Roman"/>
          <w:sz w:val="24"/>
          <w:szCs w:val="24"/>
        </w:rPr>
        <w:t xml:space="preserve"> Anéthol représente le composé majoritaire, quand au  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Foeniculum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Mill</w:t>
      </w:r>
      <w:r w:rsidRPr="001101D8">
        <w:rPr>
          <w:rFonts w:ascii="Times New Roman" w:hAnsi="Times New Roman" w:cs="Times New Roman"/>
          <w:sz w:val="24"/>
          <w:szCs w:val="24"/>
        </w:rPr>
        <w:t xml:space="preserve">, il est riche en </w:t>
      </w:r>
      <w:proofErr w:type="spellStart"/>
      <w:r w:rsidRPr="001101D8">
        <w:rPr>
          <w:rFonts w:ascii="Times New Roman" w:hAnsi="Times New Roman" w:cs="Times New Roman"/>
          <w:sz w:val="24"/>
          <w:szCs w:val="24"/>
        </w:rPr>
        <w:t>monoterpènes</w:t>
      </w:r>
      <w:proofErr w:type="spellEnd"/>
      <w:r w:rsidRPr="001101D8">
        <w:rPr>
          <w:rFonts w:ascii="Times New Roman" w:hAnsi="Times New Roman" w:cs="Times New Roman"/>
          <w:sz w:val="24"/>
          <w:szCs w:val="24"/>
        </w:rPr>
        <w:t xml:space="preserve"> oxygénés ; la </w:t>
      </w:r>
      <w:proofErr w:type="spellStart"/>
      <w:r w:rsidRPr="001101D8">
        <w:rPr>
          <w:rFonts w:ascii="Times New Roman" w:hAnsi="Times New Roman" w:cs="Times New Roman"/>
          <w:sz w:val="24"/>
          <w:szCs w:val="24"/>
        </w:rPr>
        <w:t>Fenchone</w:t>
      </w:r>
      <w:proofErr w:type="spellEnd"/>
      <w:r w:rsidRPr="001101D8">
        <w:rPr>
          <w:rFonts w:ascii="Times New Roman" w:hAnsi="Times New Roman" w:cs="Times New Roman"/>
          <w:sz w:val="24"/>
          <w:szCs w:val="24"/>
        </w:rPr>
        <w:t xml:space="preserve">  est le composé majoritaire.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 L’étude de l’activité antimicrobienne a montré que les </w:t>
      </w:r>
      <w:proofErr w:type="spellStart"/>
      <w:r w:rsidRPr="001101D8">
        <w:rPr>
          <w:rFonts w:ascii="Times New Roman" w:hAnsi="Times New Roman" w:cs="Times New Roman"/>
          <w:bCs/>
          <w:sz w:val="24"/>
          <w:szCs w:val="24"/>
        </w:rPr>
        <w:t>HEs</w:t>
      </w:r>
      <w:proofErr w:type="spellEnd"/>
      <w:r w:rsidRPr="001101D8">
        <w:rPr>
          <w:rFonts w:ascii="Times New Roman" w:hAnsi="Times New Roman" w:cs="Times New Roman"/>
          <w:bCs/>
          <w:sz w:val="24"/>
          <w:szCs w:val="24"/>
        </w:rPr>
        <w:t xml:space="preserve"> des graines de Fenouil des deux espèces  présentent une  bonne activité  vis-à-vis de des souches bactériennes  à gram positif et négatif</w:t>
      </w:r>
      <w:r w:rsidRPr="001101D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101D8">
        <w:rPr>
          <w:rFonts w:ascii="Times New Roman" w:hAnsi="Times New Roman" w:cs="Times New Roman"/>
          <w:sz w:val="24"/>
          <w:szCs w:val="24"/>
        </w:rPr>
        <w:t>ainsi que pour deux levures</w:t>
      </w:r>
      <w:r w:rsidRPr="001101D8">
        <w:rPr>
          <w:rFonts w:ascii="Times New Roman" w:hAnsi="Times New Roman" w:cs="Times New Roman"/>
          <w:bCs/>
          <w:sz w:val="24"/>
          <w:szCs w:val="24"/>
        </w:rPr>
        <w:t>. Les  concentrations  minimales  inhibitrices  (CMI)  et  bactéricides</w:t>
      </w:r>
      <w:bookmarkStart w:id="0" w:name="_GoBack"/>
      <w:bookmarkEnd w:id="0"/>
      <w:r w:rsidRPr="001101D8">
        <w:rPr>
          <w:rFonts w:ascii="Times New Roman" w:hAnsi="Times New Roman" w:cs="Times New Roman"/>
          <w:bCs/>
          <w:sz w:val="24"/>
          <w:szCs w:val="24"/>
        </w:rPr>
        <w:t xml:space="preserve"> (CMB) ont été estimées par la méthode de dilution d’agar. </w:t>
      </w:r>
      <w:r w:rsidRPr="001101D8">
        <w:rPr>
          <w:rFonts w:ascii="Times New Roman" w:hAnsi="Times New Roman" w:cs="Times New Roman"/>
          <w:sz w:val="24"/>
          <w:szCs w:val="24"/>
        </w:rPr>
        <w:t xml:space="preserve">Les levures présentent une sensibilité importante vis-à-vis de toutes les fractions des huiles essentielles, ce qui montre qu’elles possèdent une très bonne activité antifongique. </w:t>
      </w:r>
    </w:p>
    <w:p w:rsidR="00627DC1" w:rsidRPr="001101D8" w:rsidRDefault="001101D8" w:rsidP="001101D8">
      <w:pPr>
        <w:rPr>
          <w:rFonts w:ascii="Times New Roman" w:hAnsi="Times New Roman" w:cs="Times New Roman"/>
          <w:sz w:val="24"/>
          <w:szCs w:val="24"/>
        </w:rPr>
      </w:pPr>
      <w:r w:rsidRPr="001101D8">
        <w:rPr>
          <w:rFonts w:ascii="Times New Roman" w:hAnsi="Times New Roman" w:cs="Times New Roman"/>
          <w:b/>
          <w:bCs/>
          <w:i/>
          <w:sz w:val="24"/>
          <w:szCs w:val="24"/>
        </w:rPr>
        <w:t>Mots  clés :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 Huile  essentielle (HE),  activité  antimicrobienne, 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Foeniculum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   </w:t>
      </w:r>
      <w:proofErr w:type="spellStart"/>
      <w:r w:rsidRPr="001101D8">
        <w:rPr>
          <w:rFonts w:ascii="Times New Roman" w:hAnsi="Times New Roman" w:cs="Times New Roman"/>
          <w:bCs/>
          <w:i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bCs/>
          <w:i/>
          <w:sz w:val="24"/>
          <w:szCs w:val="24"/>
        </w:rPr>
        <w:t xml:space="preserve"> Mill</w:t>
      </w:r>
      <w:r w:rsidRPr="001101D8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1101D8">
        <w:rPr>
          <w:rFonts w:ascii="Times New Roman" w:hAnsi="Times New Roman" w:cs="Times New Roman"/>
          <w:i/>
          <w:iCs/>
          <w:sz w:val="24"/>
          <w:szCs w:val="24"/>
        </w:rPr>
        <w:t>Foeniculum</w:t>
      </w:r>
      <w:proofErr w:type="spellEnd"/>
      <w:r w:rsidRPr="001101D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101D8">
        <w:rPr>
          <w:rFonts w:ascii="Times New Roman" w:hAnsi="Times New Roman" w:cs="Times New Roman"/>
          <w:i/>
          <w:iCs/>
          <w:sz w:val="24"/>
          <w:szCs w:val="24"/>
        </w:rPr>
        <w:t>vulgare</w:t>
      </w:r>
      <w:proofErr w:type="spellEnd"/>
      <w:r w:rsidRPr="001101D8">
        <w:rPr>
          <w:rFonts w:ascii="Times New Roman" w:hAnsi="Times New Roman" w:cs="Times New Roman"/>
          <w:i/>
          <w:iCs/>
          <w:sz w:val="24"/>
          <w:szCs w:val="24"/>
        </w:rPr>
        <w:t xml:space="preserve"> var. </w:t>
      </w:r>
      <w:proofErr w:type="spellStart"/>
      <w:r w:rsidRPr="001101D8">
        <w:rPr>
          <w:rFonts w:ascii="Times New Roman" w:hAnsi="Times New Roman" w:cs="Times New Roman"/>
          <w:i/>
          <w:sz w:val="24"/>
          <w:szCs w:val="24"/>
        </w:rPr>
        <w:t>dulce</w:t>
      </w:r>
      <w:proofErr w:type="spellEnd"/>
      <w:r w:rsidRPr="001101D8">
        <w:rPr>
          <w:rFonts w:ascii="Times New Roman" w:hAnsi="Times New Roman" w:cs="Times New Roman"/>
          <w:i/>
          <w:sz w:val="24"/>
          <w:szCs w:val="24"/>
        </w:rPr>
        <w:t>.</w:t>
      </w:r>
    </w:p>
    <w:sectPr w:rsidR="00627DC1" w:rsidRPr="001101D8" w:rsidSect="00627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1101D8"/>
    <w:rsid w:val="001101D8"/>
    <w:rsid w:val="00627DC1"/>
    <w:rsid w:val="00DC17F8"/>
    <w:rsid w:val="00E90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01D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1133</Characters>
  <Application>Microsoft Office Word</Application>
  <DocSecurity>0</DocSecurity>
  <Lines>9</Lines>
  <Paragraphs>2</Paragraphs>
  <ScaleCrop>false</ScaleCrop>
  <Company/>
  <LinksUpToDate>false</LinksUpToDate>
  <CharactersWithSpaces>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2015-01-18T00:38:00Z</dcterms:created>
  <dcterms:modified xsi:type="dcterms:W3CDTF">2015-01-18T00:40:00Z</dcterms:modified>
</cp:coreProperties>
</file>