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2FE3" w:rsidRDefault="0051512C" w:rsidP="0051512C">
      <w:pPr>
        <w:jc w:val="center"/>
        <w:rPr>
          <w:rFonts w:ascii="Times New Roman" w:hAnsi="Times New Roman" w:cs="Times New Roman"/>
          <w:sz w:val="28"/>
          <w:szCs w:val="28"/>
        </w:rPr>
      </w:pPr>
      <w:r w:rsidRPr="0051512C">
        <w:rPr>
          <w:rFonts w:ascii="Times New Roman" w:hAnsi="Times New Roman" w:cs="Times New Roman"/>
          <w:sz w:val="28"/>
          <w:szCs w:val="28"/>
        </w:rPr>
        <w:t xml:space="preserve">Influence de l'appariement isovectoriel sur le moment d'inertie des noyaux </w:t>
      </w:r>
    </w:p>
    <w:p w:rsidR="0051512C" w:rsidRPr="009013E5" w:rsidRDefault="00A82FE3" w:rsidP="0051512C">
      <w:pPr>
        <w:jc w:val="center"/>
        <w:rPr>
          <w:rFonts w:ascii="Times New Roman" w:hAnsi="Times New Roman" w:cs="Times New Roman"/>
          <w:sz w:val="28"/>
          <w:szCs w:val="28"/>
          <w:vertAlign w:val="superscript"/>
        </w:rPr>
      </w:pPr>
      <w:r>
        <w:rPr>
          <w:rFonts w:ascii="Times New Roman" w:hAnsi="Times New Roman" w:cs="Times New Roman"/>
          <w:sz w:val="28"/>
          <w:szCs w:val="28"/>
        </w:rPr>
        <w:t>p</w:t>
      </w:r>
      <w:r w:rsidR="0051512C" w:rsidRPr="0051512C">
        <w:rPr>
          <w:rFonts w:ascii="Times New Roman" w:hAnsi="Times New Roman" w:cs="Times New Roman"/>
          <w:sz w:val="28"/>
          <w:szCs w:val="28"/>
        </w:rPr>
        <w:t>air-pairs riches en protons chauds</w:t>
      </w:r>
      <w:r w:rsidR="009013E5">
        <w:rPr>
          <w:rFonts w:ascii="Times New Roman" w:hAnsi="Times New Roman" w:cs="Times New Roman"/>
          <w:sz w:val="28"/>
          <w:szCs w:val="28"/>
          <w:vertAlign w:val="superscript"/>
        </w:rPr>
        <w:t>*</w:t>
      </w:r>
    </w:p>
    <w:p w:rsidR="0051512C" w:rsidRPr="009013E5" w:rsidRDefault="0051512C" w:rsidP="00AA48D5">
      <w:pPr>
        <w:jc w:val="center"/>
        <w:rPr>
          <w:rFonts w:ascii="Times New Roman" w:hAnsi="Times New Roman" w:cs="Times New Roman"/>
          <w:sz w:val="24"/>
          <w:szCs w:val="24"/>
          <w:vertAlign w:val="superscript"/>
        </w:rPr>
      </w:pPr>
      <w:r w:rsidRPr="00AA48D5">
        <w:rPr>
          <w:rFonts w:ascii="Times New Roman" w:hAnsi="Times New Roman" w:cs="Times New Roman"/>
          <w:sz w:val="24"/>
          <w:szCs w:val="24"/>
        </w:rPr>
        <w:t>AMI ISMAHANE</w:t>
      </w:r>
      <w:r w:rsidR="00BB38AF">
        <w:rPr>
          <w:rFonts w:ascii="Times New Roman" w:hAnsi="Times New Roman" w:cs="Times New Roman"/>
          <w:sz w:val="28"/>
          <w:szCs w:val="28"/>
          <w:vertAlign w:val="superscript"/>
        </w:rPr>
        <w:t>**</w:t>
      </w:r>
    </w:p>
    <w:p w:rsidR="0051512C" w:rsidRPr="00AA48D5" w:rsidRDefault="00AA48D5" w:rsidP="009013E5">
      <w:pPr>
        <w:spacing w:after="0"/>
        <w:jc w:val="center"/>
        <w:rPr>
          <w:rFonts w:ascii="Times New Roman" w:hAnsi="Times New Roman" w:cs="Times New Roman"/>
          <w:sz w:val="24"/>
          <w:szCs w:val="24"/>
        </w:rPr>
      </w:pPr>
      <w:r>
        <w:rPr>
          <w:rFonts w:ascii="Times New Roman" w:hAnsi="Times New Roman" w:cs="Times New Roman"/>
          <w:sz w:val="24"/>
          <w:szCs w:val="24"/>
        </w:rPr>
        <w:t>Département de Physique, Faculté des Sciences,</w:t>
      </w:r>
      <w:r w:rsidR="00345B47">
        <w:rPr>
          <w:rFonts w:ascii="Times New Roman" w:hAnsi="Times New Roman" w:cs="Times New Roman"/>
          <w:sz w:val="24"/>
          <w:szCs w:val="24"/>
        </w:rPr>
        <w:t xml:space="preserve"> </w:t>
      </w:r>
      <w:r w:rsidR="0051512C" w:rsidRPr="00AA48D5">
        <w:rPr>
          <w:rFonts w:ascii="Times New Roman" w:hAnsi="Times New Roman" w:cs="Times New Roman"/>
          <w:sz w:val="24"/>
          <w:szCs w:val="24"/>
        </w:rPr>
        <w:t>Université M'hamed Bougara de Boumerdès</w:t>
      </w:r>
    </w:p>
    <w:p w:rsidR="0051512C" w:rsidRPr="00AA48D5" w:rsidRDefault="0051512C" w:rsidP="009013E5">
      <w:pPr>
        <w:spacing w:after="0"/>
        <w:jc w:val="center"/>
        <w:rPr>
          <w:rFonts w:ascii="Times New Roman" w:hAnsi="Times New Roman" w:cs="Times New Roman"/>
          <w:sz w:val="24"/>
          <w:szCs w:val="24"/>
        </w:rPr>
      </w:pPr>
      <w:r w:rsidRPr="00AA48D5">
        <w:rPr>
          <w:rFonts w:ascii="Times New Roman" w:hAnsi="Times New Roman" w:cs="Times New Roman"/>
          <w:sz w:val="24"/>
          <w:szCs w:val="24"/>
        </w:rPr>
        <w:t>et</w:t>
      </w:r>
    </w:p>
    <w:p w:rsidR="0051512C" w:rsidRPr="00AA48D5" w:rsidRDefault="0051512C" w:rsidP="009013E5">
      <w:pPr>
        <w:spacing w:after="0"/>
        <w:jc w:val="center"/>
        <w:rPr>
          <w:rFonts w:ascii="Times New Roman" w:hAnsi="Times New Roman" w:cs="Times New Roman"/>
          <w:sz w:val="24"/>
          <w:szCs w:val="24"/>
        </w:rPr>
      </w:pPr>
      <w:r w:rsidRPr="00AA48D5">
        <w:rPr>
          <w:rFonts w:ascii="Times New Roman" w:hAnsi="Times New Roman" w:cs="Times New Roman"/>
          <w:sz w:val="24"/>
          <w:szCs w:val="24"/>
        </w:rPr>
        <w:t>Laboratoire de Physique Théorique, Faculté de Physique, USTHB, Alger</w:t>
      </w:r>
    </w:p>
    <w:p w:rsidR="00E90870" w:rsidRDefault="00E90870" w:rsidP="009013E5">
      <w:pPr>
        <w:spacing w:after="0" w:line="240" w:lineRule="auto"/>
        <w:ind w:firstLine="708"/>
        <w:jc w:val="both"/>
        <w:rPr>
          <w:rFonts w:ascii="Times New Roman" w:hAnsi="Times New Roman" w:cs="Times New Roman"/>
          <w:sz w:val="24"/>
          <w:szCs w:val="24"/>
        </w:rPr>
      </w:pPr>
    </w:p>
    <w:p w:rsidR="0051512C" w:rsidRPr="00AA48D5" w:rsidRDefault="0051512C" w:rsidP="0058456E">
      <w:pPr>
        <w:spacing w:after="0" w:line="240" w:lineRule="auto"/>
        <w:ind w:firstLine="708"/>
        <w:jc w:val="both"/>
        <w:rPr>
          <w:rFonts w:ascii="Times New Roman" w:hAnsi="Times New Roman" w:cs="Times New Roman"/>
          <w:sz w:val="24"/>
          <w:szCs w:val="24"/>
        </w:rPr>
      </w:pPr>
      <w:r w:rsidRPr="00AA48D5">
        <w:rPr>
          <w:rFonts w:ascii="Times New Roman" w:hAnsi="Times New Roman" w:cs="Times New Roman"/>
          <w:sz w:val="24"/>
          <w:szCs w:val="24"/>
        </w:rPr>
        <w:t>Les expressions des moments d'inertie perpendiculaire (</w:t>
      </w:r>
      <w:r w:rsidRPr="00AA48D5">
        <w:rPr>
          <w:rFonts w:ascii="Times New Roman" w:hAnsi="Cambria Math" w:cs="Times New Roman"/>
          <w:sz w:val="24"/>
          <w:szCs w:val="24"/>
        </w:rPr>
        <w:t>ℑ</w:t>
      </w:r>
      <w:r w:rsidR="00AA48D5" w:rsidRPr="00AA48D5">
        <w:rPr>
          <w:rFonts w:ascii="Times New Roman" w:hAnsi="Cambria Math" w:cs="Times New Roman"/>
          <w:sz w:val="24"/>
          <w:szCs w:val="24"/>
          <w:vertAlign w:val="superscript"/>
        </w:rPr>
        <w:sym w:font="Symbol" w:char="F05E"/>
      </w:r>
      <w:r w:rsidRPr="00AA48D5">
        <w:rPr>
          <w:rFonts w:ascii="Times New Roman" w:hAnsi="Times New Roman" w:cs="Times New Roman"/>
          <w:sz w:val="24"/>
          <w:szCs w:val="24"/>
          <w:vertAlign w:val="subscript"/>
        </w:rPr>
        <w:t>np</w:t>
      </w:r>
      <w:r w:rsidRPr="00AA48D5">
        <w:rPr>
          <w:rFonts w:ascii="Times New Roman" w:hAnsi="Times New Roman" w:cs="Times New Roman"/>
          <w:sz w:val="24"/>
          <w:szCs w:val="24"/>
        </w:rPr>
        <w:t xml:space="preserve">) et parallèle </w:t>
      </w:r>
      <w:r w:rsidR="00AA48D5" w:rsidRPr="00AA48D5">
        <w:rPr>
          <w:rFonts w:ascii="Times New Roman" w:hAnsi="Times New Roman" w:cs="Times New Roman"/>
          <w:sz w:val="24"/>
          <w:szCs w:val="24"/>
        </w:rPr>
        <w:t>(</w:t>
      </w:r>
      <w:r w:rsidR="00AA48D5" w:rsidRPr="00AA48D5">
        <w:rPr>
          <w:rFonts w:ascii="Times New Roman" w:hAnsi="Cambria Math" w:cs="Times New Roman"/>
          <w:sz w:val="24"/>
          <w:szCs w:val="24"/>
        </w:rPr>
        <w:t>ℑ</w:t>
      </w:r>
      <w:r w:rsidR="00AA48D5">
        <w:rPr>
          <w:rFonts w:ascii="Times New Roman" w:hAnsi="Cambria Math" w:cs="Times New Roman"/>
          <w:sz w:val="24"/>
          <w:szCs w:val="24"/>
          <w:vertAlign w:val="superscript"/>
        </w:rPr>
        <w:sym w:font="Symbol" w:char="F07C"/>
      </w:r>
      <w:r w:rsidR="00AA48D5">
        <w:rPr>
          <w:rFonts w:ascii="Times New Roman" w:hAnsi="Cambria Math" w:cs="Times New Roman"/>
          <w:sz w:val="24"/>
          <w:szCs w:val="24"/>
          <w:vertAlign w:val="superscript"/>
        </w:rPr>
        <w:sym w:font="Symbol" w:char="F07C"/>
      </w:r>
      <w:r w:rsidR="00AA48D5" w:rsidRPr="00AA48D5">
        <w:rPr>
          <w:rFonts w:ascii="Times New Roman" w:hAnsi="Times New Roman" w:cs="Times New Roman"/>
          <w:sz w:val="24"/>
          <w:szCs w:val="24"/>
          <w:vertAlign w:val="subscript"/>
        </w:rPr>
        <w:t>np</w:t>
      </w:r>
      <w:r w:rsidR="00AA48D5" w:rsidRPr="00AA48D5">
        <w:rPr>
          <w:rFonts w:ascii="Times New Roman" w:hAnsi="Times New Roman" w:cs="Times New Roman"/>
          <w:sz w:val="24"/>
          <w:szCs w:val="24"/>
        </w:rPr>
        <w:t>)</w:t>
      </w:r>
      <w:r w:rsidR="00CF7EF3">
        <w:rPr>
          <w:rFonts w:ascii="Times New Roman" w:hAnsi="Times New Roman" w:cs="Times New Roman"/>
          <w:sz w:val="24"/>
          <w:szCs w:val="24"/>
        </w:rPr>
        <w:t xml:space="preserve"> </w:t>
      </w:r>
      <w:r w:rsidRPr="00AA48D5">
        <w:rPr>
          <w:rFonts w:ascii="Times New Roman" w:hAnsi="Times New Roman" w:cs="Times New Roman"/>
          <w:sz w:val="24"/>
          <w:szCs w:val="24"/>
        </w:rPr>
        <w:t>à température finie, dans le cas de l'appariement isovectoriel, ont été établies dans le cadre de l'approximation de cranking d'Inglis. Pour cela, nous avons d'abord écrit la grande fonction partition du système en utilisant le formalisme des intégrales de chemin où l'interaction résiduelle d'appariement a été remplacée par l'interaction d'une particule avec un champ externe moyennant la transformation d'Hubbard-Stratonovitch. La grande fonction partition, ayant la forme d'une intégrale fonctionnelle, a été évaluée dans le cadre de l'approximation du chemin statique. Une fois l'hamiltonien du système diagonalisé, la transformation généralisée de Bogoliubov-Valatin a été définie. La prise en compte de la contribution maximale de la grande fonction partition au point de selle a permis d'établir trois des cinq équations du gap, les deux autres ont été obtenues en utilisant la conservation en moyenne du nombre de particules pour les deux types de nucléons. Notre intérêt s'est porté par la suite à établir explicitement, les expressions des moments d'inertie dans le cadre de l'approximation de cranking d'Inglis en utilisant le formalisme des intégrales de chem</w:t>
      </w:r>
      <w:r w:rsidR="00CF7EF3">
        <w:rPr>
          <w:rFonts w:ascii="Times New Roman" w:hAnsi="Times New Roman" w:cs="Times New Roman"/>
          <w:sz w:val="24"/>
          <w:szCs w:val="24"/>
        </w:rPr>
        <w:t>in et la théorie des pertur</w:t>
      </w:r>
      <w:r w:rsidRPr="00AA48D5">
        <w:rPr>
          <w:rFonts w:ascii="Times New Roman" w:hAnsi="Times New Roman" w:cs="Times New Roman"/>
          <w:sz w:val="24"/>
          <w:szCs w:val="24"/>
        </w:rPr>
        <w:t>bations quantiques. Une fois la grande fonction partition et l'énergie du système en rotation explicitées, les diverses valeurs moyennes ont été calculées dans l'ensemble grand canonique.</w:t>
      </w:r>
    </w:p>
    <w:p w:rsidR="0051512C" w:rsidRPr="00AA48D5" w:rsidRDefault="0051512C" w:rsidP="0058456E">
      <w:pPr>
        <w:spacing w:after="0" w:line="240" w:lineRule="auto"/>
        <w:ind w:firstLine="708"/>
        <w:jc w:val="both"/>
        <w:rPr>
          <w:rFonts w:ascii="Times New Roman" w:hAnsi="Times New Roman" w:cs="Times New Roman"/>
          <w:sz w:val="24"/>
          <w:szCs w:val="24"/>
        </w:rPr>
      </w:pPr>
      <w:r w:rsidRPr="00AA48D5">
        <w:rPr>
          <w:rFonts w:ascii="Times New Roman" w:hAnsi="Times New Roman" w:cs="Times New Roman"/>
          <w:sz w:val="24"/>
          <w:szCs w:val="24"/>
        </w:rPr>
        <w:t>Une étude numérique a été par la suite réalisée d'abord dans le cadre du modèle schématique de Richardson puis à l'aide du modèle réaliste de Woods-Saxon. Dans le cadre de ce dernier, ce sont les noyaux pair-pairs riches en protons dans leur état fondamental déformé et pour lesquels 30≤Z≤40 et N-Z=0,</w:t>
      </w:r>
      <w:r w:rsidR="009E3A4D">
        <w:rPr>
          <w:rFonts w:ascii="Times New Roman" w:hAnsi="Times New Roman" w:cs="Times New Roman"/>
          <w:sz w:val="24"/>
          <w:szCs w:val="24"/>
        </w:rPr>
        <w:t xml:space="preserve"> </w:t>
      </w:r>
      <w:r w:rsidRPr="00AA48D5">
        <w:rPr>
          <w:rFonts w:ascii="Times New Roman" w:hAnsi="Times New Roman" w:cs="Times New Roman"/>
          <w:sz w:val="24"/>
          <w:szCs w:val="24"/>
        </w:rPr>
        <w:t>2,</w:t>
      </w:r>
      <w:r w:rsidR="009E3A4D">
        <w:rPr>
          <w:rFonts w:ascii="Times New Roman" w:hAnsi="Times New Roman" w:cs="Times New Roman"/>
          <w:sz w:val="24"/>
          <w:szCs w:val="24"/>
        </w:rPr>
        <w:t xml:space="preserve"> </w:t>
      </w:r>
      <w:r w:rsidRPr="00AA48D5">
        <w:rPr>
          <w:rFonts w:ascii="Times New Roman" w:hAnsi="Times New Roman" w:cs="Times New Roman"/>
          <w:sz w:val="24"/>
          <w:szCs w:val="24"/>
        </w:rPr>
        <w:t>4 qui ont été considérés. Les résultats obtenus à température nulle et à température finie dans le cadre des deux modèles ont été comparés à leurs homologues de la théorie FTBCS usuelle.</w:t>
      </w:r>
    </w:p>
    <w:p w:rsidR="00253364" w:rsidRPr="00AA48D5" w:rsidRDefault="00E90870" w:rsidP="0058456E">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Il a été montré qu'à 0≤T≤T</w:t>
      </w:r>
      <w:r w:rsidRPr="00E90870">
        <w:rPr>
          <w:rFonts w:ascii="Times New Roman" w:hAnsi="Times New Roman" w:cs="Times New Roman"/>
          <w:sz w:val="24"/>
          <w:szCs w:val="24"/>
          <w:vertAlign w:val="subscript"/>
        </w:rPr>
        <w:t>cnp</w:t>
      </w:r>
      <w:r w:rsidR="0051512C" w:rsidRPr="00AA48D5">
        <w:rPr>
          <w:rFonts w:ascii="Times New Roman" w:hAnsi="Times New Roman" w:cs="Times New Roman"/>
          <w:sz w:val="24"/>
          <w:szCs w:val="24"/>
        </w:rPr>
        <w:t xml:space="preserve"> (température critique au-delà de laquelle l'effet d'appariement np s'annule), l'influence de l'appariement np sur le moment d'inertie perpendiculaire est d'autant plus importante que la valeur du paramètre du gap </w:t>
      </w:r>
      <w:r>
        <w:rPr>
          <w:rFonts w:ascii="Tempus Sans ITC" w:hAnsi="Tempus Sans ITC" w:cs="Times New Roman"/>
          <w:sz w:val="24"/>
          <w:szCs w:val="24"/>
        </w:rPr>
        <w:t>∆</w:t>
      </w:r>
      <w:r w:rsidR="0051512C" w:rsidRPr="00E90870">
        <w:rPr>
          <w:rFonts w:ascii="Times New Roman" w:hAnsi="Times New Roman" w:cs="Times New Roman"/>
          <w:sz w:val="24"/>
          <w:szCs w:val="24"/>
          <w:vertAlign w:val="subscript"/>
        </w:rPr>
        <w:t>np</w:t>
      </w:r>
      <w:r w:rsidR="0051512C" w:rsidRPr="00AA48D5">
        <w:rPr>
          <w:rFonts w:ascii="Times New Roman" w:hAnsi="Times New Roman" w:cs="Times New Roman"/>
          <w:sz w:val="24"/>
          <w:szCs w:val="24"/>
        </w:rPr>
        <w:t xml:space="preserve"> à température nulle est importante. Dans le cadre réaliste, l'effet des corrélations d'appariement np mène en moyenne à un écart relatif maximal de l'ordre de 15.57% pour l'ensemble des noyaux étudiés. Dans la région où T≥</w:t>
      </w:r>
      <w:r>
        <w:rPr>
          <w:rFonts w:ascii="Times New Roman" w:hAnsi="Times New Roman" w:cs="Times New Roman"/>
          <w:sz w:val="24"/>
          <w:szCs w:val="24"/>
        </w:rPr>
        <w:t>T</w:t>
      </w:r>
      <w:r w:rsidRPr="00E90870">
        <w:rPr>
          <w:rFonts w:ascii="Times New Roman" w:hAnsi="Times New Roman" w:cs="Times New Roman"/>
          <w:sz w:val="24"/>
          <w:szCs w:val="24"/>
          <w:vertAlign w:val="subscript"/>
        </w:rPr>
        <w:t>cnp</w:t>
      </w:r>
      <w:r>
        <w:rPr>
          <w:rFonts w:ascii="Times New Roman" w:hAnsi="Times New Roman" w:cs="Times New Roman"/>
          <w:sz w:val="24"/>
          <w:szCs w:val="24"/>
        </w:rPr>
        <w:t xml:space="preserve">, en dépit du fait que </w:t>
      </w:r>
      <w:r>
        <w:rPr>
          <w:rFonts w:ascii="Tempus Sans ITC" w:hAnsi="Tempus Sans ITC" w:cs="Times New Roman"/>
          <w:sz w:val="24"/>
          <w:szCs w:val="24"/>
        </w:rPr>
        <w:t>∆</w:t>
      </w:r>
      <w:r w:rsidRPr="00E90870">
        <w:rPr>
          <w:rFonts w:ascii="Times New Roman" w:hAnsi="Times New Roman" w:cs="Times New Roman"/>
          <w:sz w:val="24"/>
          <w:szCs w:val="24"/>
          <w:vertAlign w:val="subscript"/>
        </w:rPr>
        <w:t>np</w:t>
      </w:r>
      <w:r w:rsidRPr="00AA48D5">
        <w:rPr>
          <w:rFonts w:ascii="Times New Roman" w:hAnsi="Times New Roman" w:cs="Times New Roman"/>
          <w:sz w:val="24"/>
          <w:szCs w:val="24"/>
        </w:rPr>
        <w:t xml:space="preserve"> </w:t>
      </w:r>
      <w:r w:rsidR="0051512C" w:rsidRPr="00AA48D5">
        <w:rPr>
          <w:rFonts w:ascii="Times New Roman" w:hAnsi="Times New Roman" w:cs="Times New Roman"/>
          <w:sz w:val="24"/>
          <w:szCs w:val="24"/>
        </w:rPr>
        <w:t>=0, il existe un écart entre les valeurs du présent modèle et celles de la théorie FTBCS habituelle dû au décalage des températures critiques. Dans le cas réaliste, la valeur maximale de l'écart relatif est de l'ordre de 13.25%, en moyenne, pour l'ensemble des noyaux étudiés. Quant au moment d'inertie parallèle, il a été mont</w:t>
      </w:r>
      <w:r>
        <w:rPr>
          <w:rFonts w:ascii="Times New Roman" w:hAnsi="Times New Roman" w:cs="Times New Roman"/>
          <w:sz w:val="24"/>
          <w:szCs w:val="24"/>
        </w:rPr>
        <w:t>ré que dans la région où 0≤T≤T</w:t>
      </w:r>
      <w:r w:rsidRPr="00E90870">
        <w:rPr>
          <w:rFonts w:ascii="Times New Roman" w:hAnsi="Times New Roman" w:cs="Times New Roman"/>
          <w:sz w:val="24"/>
          <w:szCs w:val="24"/>
          <w:vertAlign w:val="subscript"/>
        </w:rPr>
        <w:t>cnp</w:t>
      </w:r>
      <w:r w:rsidR="0051512C" w:rsidRPr="00AA48D5">
        <w:rPr>
          <w:rFonts w:ascii="Times New Roman" w:hAnsi="Times New Roman" w:cs="Times New Roman"/>
          <w:sz w:val="24"/>
          <w:szCs w:val="24"/>
        </w:rPr>
        <w:t xml:space="preserve">, il n'y a pas de différence entre les résultats du présent modèle et ceux de l'approche FTBCS usuelle. Ceci est dû au fait que dans cette région, </w:t>
      </w:r>
      <w:r w:rsidR="0051512C" w:rsidRPr="00AA48D5">
        <w:rPr>
          <w:rFonts w:ascii="Times New Roman" w:hAnsi="Cambria Math" w:cs="Times New Roman"/>
          <w:sz w:val="24"/>
          <w:szCs w:val="24"/>
        </w:rPr>
        <w:t>ℑ</w:t>
      </w:r>
      <w:r w:rsidR="0051512C" w:rsidRPr="003D107B">
        <w:rPr>
          <w:rFonts w:ascii="Cambria Math" w:hAnsi="Cambria Math" w:cs="Times New Roman"/>
          <w:sz w:val="24"/>
          <w:szCs w:val="24"/>
          <w:vertAlign w:val="subscript"/>
        </w:rPr>
        <w:t>‖</w:t>
      </w:r>
      <w:r w:rsidR="0051512C" w:rsidRPr="003D107B">
        <w:rPr>
          <w:rFonts w:ascii="Times New Roman" w:hAnsi="Times New Roman" w:cs="Times New Roman"/>
          <w:sz w:val="24"/>
          <w:szCs w:val="24"/>
          <w:vertAlign w:val="subscript"/>
        </w:rPr>
        <w:t xml:space="preserve"> </w:t>
      </w:r>
      <w:r w:rsidR="0051512C" w:rsidRPr="00AA48D5">
        <w:rPr>
          <w:rFonts w:ascii="Times New Roman" w:hAnsi="Times New Roman" w:cs="Times New Roman"/>
          <w:sz w:val="24"/>
          <w:szCs w:val="24"/>
        </w:rPr>
        <w:t xml:space="preserve">est nul. Au-delà de </w:t>
      </w:r>
      <w:r>
        <w:rPr>
          <w:rFonts w:ascii="Times New Roman" w:hAnsi="Times New Roman" w:cs="Times New Roman"/>
          <w:sz w:val="24"/>
          <w:szCs w:val="24"/>
        </w:rPr>
        <w:t>T</w:t>
      </w:r>
      <w:r w:rsidRPr="00E90870">
        <w:rPr>
          <w:rFonts w:ascii="Times New Roman" w:hAnsi="Times New Roman" w:cs="Times New Roman"/>
          <w:sz w:val="24"/>
          <w:szCs w:val="24"/>
          <w:vertAlign w:val="subscript"/>
        </w:rPr>
        <w:t>cnp</w:t>
      </w:r>
      <w:r w:rsidR="0051512C" w:rsidRPr="00AA48D5">
        <w:rPr>
          <w:rFonts w:ascii="Times New Roman" w:hAnsi="Times New Roman" w:cs="Times New Roman"/>
          <w:sz w:val="24"/>
          <w:szCs w:val="24"/>
        </w:rPr>
        <w:t>, i. e. T≥</w:t>
      </w:r>
      <w:r w:rsidRPr="00E90870">
        <w:rPr>
          <w:rFonts w:ascii="Times New Roman" w:hAnsi="Times New Roman" w:cs="Times New Roman"/>
          <w:sz w:val="24"/>
          <w:szCs w:val="24"/>
        </w:rPr>
        <w:t xml:space="preserve"> </w:t>
      </w:r>
      <w:r>
        <w:rPr>
          <w:rFonts w:ascii="Times New Roman" w:hAnsi="Times New Roman" w:cs="Times New Roman"/>
          <w:sz w:val="24"/>
          <w:szCs w:val="24"/>
        </w:rPr>
        <w:t>T</w:t>
      </w:r>
      <w:r w:rsidRPr="00E90870">
        <w:rPr>
          <w:rFonts w:ascii="Times New Roman" w:hAnsi="Times New Roman" w:cs="Times New Roman"/>
          <w:sz w:val="24"/>
          <w:szCs w:val="24"/>
          <w:vertAlign w:val="subscript"/>
        </w:rPr>
        <w:t>cnp</w:t>
      </w:r>
      <w:r w:rsidR="0051512C" w:rsidRPr="00AA48D5">
        <w:rPr>
          <w:rFonts w:ascii="Times New Roman" w:hAnsi="Times New Roman" w:cs="Times New Roman"/>
          <w:sz w:val="24"/>
          <w:szCs w:val="24"/>
        </w:rPr>
        <w:t xml:space="preserve">, même si </w:t>
      </w:r>
      <w:r>
        <w:rPr>
          <w:rFonts w:ascii="Tempus Sans ITC" w:hAnsi="Tempus Sans ITC" w:cs="Times New Roman"/>
          <w:sz w:val="24"/>
          <w:szCs w:val="24"/>
        </w:rPr>
        <w:t>∆</w:t>
      </w:r>
      <w:r w:rsidRPr="00E90870">
        <w:rPr>
          <w:rFonts w:ascii="Times New Roman" w:hAnsi="Times New Roman" w:cs="Times New Roman"/>
          <w:sz w:val="24"/>
          <w:szCs w:val="24"/>
          <w:vertAlign w:val="subscript"/>
        </w:rPr>
        <w:t>np</w:t>
      </w:r>
      <w:r>
        <w:rPr>
          <w:rFonts w:ascii="Times New Roman" w:hAnsi="Times New Roman" w:cs="Times New Roman"/>
          <w:sz w:val="24"/>
          <w:szCs w:val="24"/>
        </w:rPr>
        <w:t>=</w:t>
      </w:r>
      <w:r w:rsidR="0051512C" w:rsidRPr="00AA48D5">
        <w:rPr>
          <w:rFonts w:ascii="Times New Roman" w:hAnsi="Times New Roman" w:cs="Times New Roman"/>
          <w:sz w:val="24"/>
          <w:szCs w:val="24"/>
        </w:rPr>
        <w:t xml:space="preserve">0, l'effet des corrélations d'appariement np conduit à un décalage entre la courbe de </w:t>
      </w:r>
      <w:r w:rsidR="0051512C" w:rsidRPr="00AA48D5">
        <w:rPr>
          <w:rFonts w:ascii="Times New Roman" w:hAnsi="Cambria Math" w:cs="Times New Roman"/>
          <w:sz w:val="24"/>
          <w:szCs w:val="24"/>
        </w:rPr>
        <w:t>ℑ</w:t>
      </w:r>
      <w:r w:rsidR="0051512C" w:rsidRPr="003D107B">
        <w:rPr>
          <w:rFonts w:ascii="Cambria Math" w:hAnsi="Cambria Math" w:cs="Times New Roman"/>
          <w:sz w:val="24"/>
          <w:szCs w:val="24"/>
          <w:vertAlign w:val="subscript"/>
        </w:rPr>
        <w:t>‖</w:t>
      </w:r>
      <w:r w:rsidR="0051512C" w:rsidRPr="00AA48D5">
        <w:rPr>
          <w:rFonts w:ascii="Times New Roman" w:hAnsi="Times New Roman" w:cs="Times New Roman"/>
          <w:sz w:val="24"/>
          <w:szCs w:val="24"/>
        </w:rPr>
        <w:t xml:space="preserve"> donnée dans la présente approche et celle de la théorie FTBCS usuelle. Dans le cadre réaliste, la valeur maximale de l'écart relatif est en moyenne de l'ordre de 15.26% pour l'ensemble des noyaux étudiés.</w:t>
      </w:r>
    </w:p>
    <w:sectPr w:rsidR="00253364" w:rsidRPr="00AA48D5" w:rsidSect="00253364">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47C7" w:rsidRDefault="000D47C7" w:rsidP="00613602">
      <w:pPr>
        <w:spacing w:after="0" w:line="240" w:lineRule="auto"/>
      </w:pPr>
      <w:r>
        <w:separator/>
      </w:r>
    </w:p>
  </w:endnote>
  <w:endnote w:type="continuationSeparator" w:id="1">
    <w:p w:rsidR="000D47C7" w:rsidRDefault="000D47C7" w:rsidP="006136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Tempus Sans ITC">
    <w:panose1 w:val="04020404030D07020202"/>
    <w:charset w:val="00"/>
    <w:family w:val="decorativ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602" w:rsidRDefault="00BE4242" w:rsidP="00BE4242">
    <w:pPr>
      <w:pStyle w:val="Pieddepage"/>
      <w:rPr>
        <w:rFonts w:ascii="Times New Roman" w:hAnsi="Times New Roman" w:cs="Times New Roman"/>
        <w:sz w:val="24"/>
        <w:szCs w:val="24"/>
      </w:rPr>
    </w:pPr>
    <w:r>
      <w:rPr>
        <w:rFonts w:ascii="Times New Roman" w:hAnsi="Times New Roman" w:cs="Times New Roman"/>
        <w:sz w:val="24"/>
        <w:szCs w:val="24"/>
      </w:rPr>
      <w:t xml:space="preserve">* </w:t>
    </w:r>
    <w:r w:rsidR="00613602" w:rsidRPr="00613602">
      <w:rPr>
        <w:rFonts w:ascii="Times New Roman" w:hAnsi="Times New Roman" w:cs="Times New Roman"/>
        <w:sz w:val="24"/>
        <w:szCs w:val="24"/>
      </w:rPr>
      <w:t xml:space="preserve">Thèse de </w:t>
    </w:r>
    <w:r w:rsidR="00613602">
      <w:rPr>
        <w:rFonts w:ascii="Times New Roman" w:hAnsi="Times New Roman" w:cs="Times New Roman"/>
        <w:sz w:val="24"/>
        <w:szCs w:val="24"/>
      </w:rPr>
      <w:t>Doctorat</w:t>
    </w:r>
  </w:p>
  <w:p w:rsidR="00613602" w:rsidRPr="00613602" w:rsidRDefault="00BE4242" w:rsidP="00BE4242">
    <w:pPr>
      <w:pStyle w:val="Pieddepage"/>
      <w:rPr>
        <w:rFonts w:ascii="Times New Roman" w:hAnsi="Times New Roman" w:cs="Times New Roman"/>
        <w:sz w:val="24"/>
        <w:szCs w:val="24"/>
      </w:rPr>
    </w:pPr>
    <w:r>
      <w:rPr>
        <w:rFonts w:ascii="Times New Roman" w:hAnsi="Times New Roman" w:cs="Times New Roman"/>
        <w:sz w:val="24"/>
        <w:szCs w:val="24"/>
      </w:rPr>
      <w:t xml:space="preserve">** </w:t>
    </w:r>
    <w:r w:rsidR="00613602">
      <w:rPr>
        <w:rFonts w:ascii="Times New Roman" w:hAnsi="Times New Roman" w:cs="Times New Roman"/>
        <w:sz w:val="24"/>
        <w:szCs w:val="24"/>
      </w:rPr>
      <w:t>Directeur de Thèse : Pr. M. FELLAH. Faculté de  Physique, USTHB.</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47C7" w:rsidRDefault="000D47C7" w:rsidP="00613602">
      <w:pPr>
        <w:spacing w:after="0" w:line="240" w:lineRule="auto"/>
      </w:pPr>
      <w:r>
        <w:separator/>
      </w:r>
    </w:p>
  </w:footnote>
  <w:footnote w:type="continuationSeparator" w:id="1">
    <w:p w:rsidR="000D47C7" w:rsidRDefault="000D47C7" w:rsidP="0061360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EC220C7"/>
    <w:multiLevelType w:val="hybridMultilevel"/>
    <w:tmpl w:val="99C47A44"/>
    <w:lvl w:ilvl="0" w:tplc="BC7EA3CE">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51512C"/>
    <w:rsid w:val="000D47C7"/>
    <w:rsid w:val="0016152D"/>
    <w:rsid w:val="00253364"/>
    <w:rsid w:val="00345B47"/>
    <w:rsid w:val="003D107B"/>
    <w:rsid w:val="0051512C"/>
    <w:rsid w:val="0058456E"/>
    <w:rsid w:val="00613602"/>
    <w:rsid w:val="00690F1F"/>
    <w:rsid w:val="008E592D"/>
    <w:rsid w:val="009013E5"/>
    <w:rsid w:val="009E3A4D"/>
    <w:rsid w:val="00A82FE3"/>
    <w:rsid w:val="00AA48D5"/>
    <w:rsid w:val="00BB38AF"/>
    <w:rsid w:val="00BE4242"/>
    <w:rsid w:val="00CF7EF3"/>
    <w:rsid w:val="00E90870"/>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336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51512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1512C"/>
    <w:rPr>
      <w:rFonts w:ascii="Tahoma" w:hAnsi="Tahoma" w:cs="Tahoma"/>
      <w:sz w:val="16"/>
      <w:szCs w:val="16"/>
    </w:rPr>
  </w:style>
  <w:style w:type="paragraph" w:styleId="En-tte">
    <w:name w:val="header"/>
    <w:basedOn w:val="Normal"/>
    <w:link w:val="En-tteCar"/>
    <w:uiPriority w:val="99"/>
    <w:semiHidden/>
    <w:unhideWhenUsed/>
    <w:rsid w:val="00613602"/>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613602"/>
  </w:style>
  <w:style w:type="paragraph" w:styleId="Pieddepage">
    <w:name w:val="footer"/>
    <w:basedOn w:val="Normal"/>
    <w:link w:val="PieddepageCar"/>
    <w:uiPriority w:val="99"/>
    <w:semiHidden/>
    <w:unhideWhenUsed/>
    <w:rsid w:val="00613602"/>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61360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554</Words>
  <Characters>3052</Characters>
  <Application>Microsoft Office Word</Application>
  <DocSecurity>0</DocSecurity>
  <Lines>25</Lines>
  <Paragraphs>7</Paragraphs>
  <ScaleCrop>false</ScaleCrop>
  <HeadingPairs>
    <vt:vector size="2" baseType="variant">
      <vt:variant>
        <vt:lpstr>Titre</vt:lpstr>
      </vt:variant>
      <vt:variant>
        <vt:i4>1</vt:i4>
      </vt:variant>
    </vt:vector>
  </HeadingPairs>
  <TitlesOfParts>
    <vt:vector size="1" baseType="lpstr">
      <vt:lpstr/>
    </vt:vector>
  </TitlesOfParts>
  <Company>CDMACC_info</Company>
  <LinksUpToDate>false</LinksUpToDate>
  <CharactersWithSpaces>3599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clien</dc:creator>
  <cp:keywords/>
  <dc:description/>
  <cp:lastModifiedBy>clien</cp:lastModifiedBy>
  <cp:revision>16</cp:revision>
  <dcterms:created xsi:type="dcterms:W3CDTF">2012-05-29T12:11:00Z</dcterms:created>
  <dcterms:modified xsi:type="dcterms:W3CDTF">2012-05-29T12:41:00Z</dcterms:modified>
</cp:coreProperties>
</file>