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364" w:rsidRDefault="004B7364" w:rsidP="004B7364">
      <w:pPr>
        <w:tabs>
          <w:tab w:val="left" w:pos="-5400"/>
          <w:tab w:val="left" w:pos="426"/>
        </w:tabs>
        <w:autoSpaceDE w:val="0"/>
        <w:autoSpaceDN w:val="0"/>
        <w:adjustRightInd w:val="0"/>
        <w:ind w:right="26"/>
        <w:jc w:val="both"/>
        <w:rPr>
          <w:rFonts w:ascii="Times New Roman" w:hAnsi="Times New Roman" w:cs="Times New Roman"/>
          <w:b/>
          <w:bCs/>
          <w:color w:val="000000"/>
          <w:w w:val="104"/>
          <w:sz w:val="24"/>
          <w:szCs w:val="24"/>
        </w:rPr>
      </w:pPr>
      <w:r w:rsidRPr="007A2D9E">
        <w:rPr>
          <w:rFonts w:ascii="Times New Roman" w:hAnsi="Times New Roman" w:cs="Times New Roman"/>
          <w:b/>
          <w:bCs/>
          <w:color w:val="000000"/>
          <w:w w:val="104"/>
          <w:sz w:val="24"/>
          <w:szCs w:val="24"/>
        </w:rPr>
        <w:t>Résumé</w:t>
      </w:r>
    </w:p>
    <w:p w:rsidR="004B7364" w:rsidRPr="00094248" w:rsidRDefault="004B7364" w:rsidP="004B7364">
      <w:pPr>
        <w:tabs>
          <w:tab w:val="left" w:pos="-5400"/>
          <w:tab w:val="left" w:pos="426"/>
        </w:tabs>
        <w:autoSpaceDE w:val="0"/>
        <w:autoSpaceDN w:val="0"/>
        <w:adjustRightInd w:val="0"/>
        <w:ind w:right="26"/>
        <w:jc w:val="both"/>
        <w:rPr>
          <w:rFonts w:ascii="Times New Roman" w:hAnsi="Times New Roman" w:cs="Times New Roman"/>
          <w:color w:val="000000"/>
          <w:w w:val="104"/>
        </w:rPr>
      </w:pPr>
    </w:p>
    <w:p w:rsidR="004B7364" w:rsidRPr="0087710F" w:rsidRDefault="004B7364" w:rsidP="004B7364">
      <w:pPr>
        <w:tabs>
          <w:tab w:val="left" w:pos="-5400"/>
          <w:tab w:val="left" w:pos="426"/>
        </w:tabs>
        <w:autoSpaceDE w:val="0"/>
        <w:autoSpaceDN w:val="0"/>
        <w:adjustRightInd w:val="0"/>
        <w:ind w:right="26"/>
        <w:jc w:val="both"/>
        <w:rPr>
          <w:rFonts w:ascii="Times New Roman" w:eastAsia="Arial Unicode MS" w:hAnsi="Times New Roman" w:cs="Times New Roman"/>
          <w:color w:val="auto"/>
          <w:w w:val="109"/>
          <w:sz w:val="24"/>
          <w:szCs w:val="24"/>
        </w:rPr>
      </w:pPr>
      <w:r w:rsidRPr="00B95D17">
        <w:rPr>
          <w:rFonts w:ascii="Times New Roman" w:hAnsi="Times New Roman" w:cs="Times New Roman"/>
          <w:color w:val="auto"/>
          <w:w w:val="104"/>
          <w:sz w:val="24"/>
          <w:szCs w:val="24"/>
        </w:rPr>
        <w:t>L’objectif de ce travail est une contribution à l’étude du traitement de la pollution engendrée par les fluides de forage pétroliers par Stabilisation/S</w:t>
      </w:r>
      <w:r>
        <w:rPr>
          <w:rFonts w:ascii="Times New Roman" w:hAnsi="Times New Roman" w:cs="Times New Roman"/>
          <w:color w:val="auto"/>
          <w:w w:val="104"/>
          <w:sz w:val="24"/>
          <w:szCs w:val="24"/>
        </w:rPr>
        <w:t xml:space="preserve">olidification. </w:t>
      </w:r>
      <w:r w:rsidRPr="0087710F">
        <w:rPr>
          <w:rFonts w:ascii="Times New Roman" w:hAnsi="Times New Roman" w:cs="Times New Roman"/>
          <w:color w:val="auto"/>
          <w:w w:val="104"/>
          <w:sz w:val="24"/>
          <w:szCs w:val="24"/>
        </w:rPr>
        <w:t xml:space="preserve">Ce procédé permettrait de </w:t>
      </w:r>
      <w:r w:rsidRPr="0087710F">
        <w:rPr>
          <w:rFonts w:ascii="Times New Roman" w:eastAsia="Arial Unicode MS" w:hAnsi="Times New Roman" w:cs="Times New Roman"/>
          <w:color w:val="auto"/>
          <w:w w:val="109"/>
          <w:sz w:val="24"/>
          <w:szCs w:val="24"/>
        </w:rPr>
        <w:t>diminuer le potentiel polluant des fluides de forages, pour leur éventuelle valorisation</w:t>
      </w:r>
      <w:r>
        <w:rPr>
          <w:rFonts w:ascii="Times New Roman" w:eastAsia="Arial Unicode MS" w:hAnsi="Times New Roman" w:cs="Times New Roman"/>
          <w:color w:val="auto"/>
          <w:w w:val="109"/>
          <w:sz w:val="24"/>
          <w:szCs w:val="24"/>
        </w:rPr>
        <w:t xml:space="preserve"> dans le domaine du génie civil </w:t>
      </w:r>
      <w:r w:rsidRPr="0087710F">
        <w:rPr>
          <w:rFonts w:ascii="Times New Roman" w:eastAsia="Arial Unicode MS" w:hAnsi="Times New Roman" w:cs="Times New Roman"/>
          <w:color w:val="auto"/>
          <w:w w:val="109"/>
          <w:sz w:val="24"/>
          <w:szCs w:val="24"/>
        </w:rPr>
        <w:t>ou leur mise en décharge.</w:t>
      </w:r>
    </w:p>
    <w:p w:rsidR="004B7364" w:rsidRPr="00362501" w:rsidRDefault="004B7364" w:rsidP="00317635">
      <w:pPr>
        <w:tabs>
          <w:tab w:val="left" w:pos="-5400"/>
          <w:tab w:val="left" w:pos="426"/>
        </w:tabs>
        <w:autoSpaceDE w:val="0"/>
        <w:autoSpaceDN w:val="0"/>
        <w:adjustRightInd w:val="0"/>
        <w:ind w:right="26"/>
        <w:jc w:val="both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DB6458">
        <w:rPr>
          <w:rStyle w:val="hps"/>
          <w:rFonts w:ascii="Times New Roman" w:hAnsi="Times New Roman" w:cs="Times New Roman"/>
          <w:bCs/>
          <w:color w:val="auto"/>
          <w:sz w:val="24"/>
          <w:szCs w:val="24"/>
        </w:rPr>
        <w:t>Une étude paramétrique a été réalisée pour mettre en évidence l’influence des différents paramètres sur la résistance à la compression des matrices solidifiées</w:t>
      </w:r>
      <w:r w:rsidRPr="00DB645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. L’utilisation de 75% de déblais et 25% du ciment dans la formulation de solidification </w:t>
      </w:r>
      <w:r>
        <w:rPr>
          <w:rFonts w:ascii="Times New Roman" w:hAnsi="Times New Roman" w:cs="Times New Roman"/>
          <w:bCs/>
          <w:color w:val="auto"/>
          <w:sz w:val="24"/>
          <w:szCs w:val="24"/>
        </w:rPr>
        <w:t>a</w:t>
      </w:r>
      <w:r w:rsidRPr="00DB645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donné une résistance à la compression de 1,542 </w:t>
      </w:r>
      <w:proofErr w:type="spellStart"/>
      <w:r w:rsidRPr="00DB6458">
        <w:rPr>
          <w:rFonts w:ascii="Times New Roman" w:hAnsi="Times New Roman" w:cs="Times New Roman"/>
          <w:bCs/>
          <w:color w:val="auto"/>
          <w:sz w:val="24"/>
          <w:szCs w:val="24"/>
        </w:rPr>
        <w:t>MPa</w:t>
      </w:r>
      <w:proofErr w:type="spellEnd"/>
      <w:r w:rsidRPr="00DB645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après 28 jours de cure, satisfaisant le seuil minimal de résistance à la compression fixé</w:t>
      </w:r>
      <w:r>
        <w:rPr>
          <w:rFonts w:ascii="Times New Roman" w:hAnsi="Times New Roman" w:cs="Times New Roman"/>
          <w:bCs/>
          <w:color w:val="auto"/>
          <w:sz w:val="24"/>
          <w:szCs w:val="24"/>
        </w:rPr>
        <w:t>e</w:t>
      </w:r>
      <w:r w:rsidRPr="00DB645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par la norme.</w:t>
      </w:r>
    </w:p>
    <w:p w:rsidR="004B7364" w:rsidRPr="00362501" w:rsidRDefault="00D1651A" w:rsidP="007E4EF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L’incorporation</w:t>
      </w:r>
      <w:r w:rsidR="004B7364" w:rsidRPr="00BA3457">
        <w:rPr>
          <w:rFonts w:ascii="Times New Roman" w:hAnsi="Times New Roman" w:cs="Times New Roman"/>
          <w:color w:val="auto"/>
          <w:sz w:val="24"/>
          <w:szCs w:val="24"/>
        </w:rPr>
        <w:t xml:space="preserve"> de 2,5% ; 5% ; 10% d’additifs a diminué la résistance</w:t>
      </w:r>
      <w:r w:rsidR="00C437F2">
        <w:rPr>
          <w:rFonts w:ascii="Times New Roman" w:hAnsi="Times New Roman" w:cs="Times New Roman"/>
          <w:color w:val="auto"/>
          <w:sz w:val="24"/>
          <w:szCs w:val="24"/>
        </w:rPr>
        <w:t xml:space="preserve"> à la compression</w:t>
      </w:r>
      <w:r w:rsidR="004B7364" w:rsidRPr="00BA345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E4EF6" w:rsidRPr="00BA3457">
        <w:rPr>
          <w:rFonts w:ascii="Times New Roman" w:hAnsi="Times New Roman" w:cs="Times New Roman"/>
          <w:color w:val="auto"/>
          <w:sz w:val="24"/>
          <w:szCs w:val="24"/>
        </w:rPr>
        <w:t xml:space="preserve">après 28 jours de cure </w:t>
      </w:r>
      <w:r w:rsidR="004B7364" w:rsidRPr="00BA3457">
        <w:rPr>
          <w:rFonts w:ascii="Times New Roman" w:hAnsi="Times New Roman" w:cs="Times New Roman"/>
          <w:color w:val="auto"/>
          <w:sz w:val="24"/>
          <w:szCs w:val="24"/>
        </w:rPr>
        <w:t>de 54,87% ; 61,81% ; 72,9% pour les cendres et 52,66% ; 66,03% ; 70,56% pour la bentonite.</w:t>
      </w:r>
    </w:p>
    <w:p w:rsidR="004B7364" w:rsidRPr="00362501" w:rsidRDefault="004B7364" w:rsidP="006D13D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B11C18">
        <w:rPr>
          <w:rFonts w:ascii="Times New Roman" w:hAnsi="Times New Roman" w:cs="Times New Roman"/>
          <w:color w:val="auto"/>
          <w:sz w:val="24"/>
          <w:szCs w:val="24"/>
          <w:lang w:eastAsia="en-US"/>
        </w:rPr>
        <w:t xml:space="preserve">Le test de lixiviation (EN 12547-2) a montré que </w:t>
      </w:r>
      <w:r w:rsidR="006D13DE">
        <w:rPr>
          <w:rFonts w:ascii="Times New Roman" w:hAnsi="Times New Roman" w:cs="Times New Roman"/>
          <w:color w:val="auto"/>
          <w:sz w:val="24"/>
          <w:szCs w:val="24"/>
          <w:lang w:eastAsia="en-US"/>
        </w:rPr>
        <w:t>l</w:t>
      </w:r>
      <w:r w:rsidRPr="00B11C18">
        <w:rPr>
          <w:rFonts w:ascii="Times New Roman" w:hAnsi="Times New Roman" w:cs="Times New Roman"/>
          <w:color w:val="auto"/>
          <w:sz w:val="24"/>
          <w:szCs w:val="24"/>
          <w:lang w:eastAsia="en-US"/>
        </w:rPr>
        <w:t xml:space="preserve">’utilisation de </w:t>
      </w:r>
      <w:r w:rsidRPr="00B11C18">
        <w:rPr>
          <w:rFonts w:ascii="Times New Roman" w:hAnsi="Times New Roman" w:cs="Times New Roman"/>
          <w:color w:val="auto"/>
          <w:sz w:val="24"/>
          <w:szCs w:val="24"/>
        </w:rPr>
        <w:t xml:space="preserve">2,5% ; 5% ; 10% </w:t>
      </w:r>
      <w:r w:rsidRPr="00B11C18">
        <w:rPr>
          <w:rFonts w:ascii="Times New Roman" w:hAnsi="Times New Roman" w:cs="Times New Roman"/>
          <w:color w:val="auto"/>
          <w:sz w:val="24"/>
          <w:szCs w:val="24"/>
          <w:lang w:eastAsia="en-US"/>
        </w:rPr>
        <w:t>d’additifs a diminué la teneur en hydrocarbures (TPH) reléguée</w:t>
      </w:r>
      <w:r>
        <w:rPr>
          <w:rFonts w:ascii="Times New Roman" w:hAnsi="Times New Roman" w:cs="Times New Roman"/>
          <w:color w:val="auto"/>
          <w:sz w:val="24"/>
          <w:szCs w:val="24"/>
          <w:lang w:eastAsia="en-US"/>
        </w:rPr>
        <w:t xml:space="preserve"> de </w:t>
      </w:r>
      <w:r w:rsidRPr="00B11C18">
        <w:rPr>
          <w:rFonts w:ascii="Times New Roman" w:hAnsi="Times New Roman" w:cs="Times New Roman"/>
          <w:color w:val="auto"/>
          <w:sz w:val="24"/>
          <w:szCs w:val="24"/>
        </w:rPr>
        <w:t>3,35% ; 13,96% ; 24,02% pour les cendres</w:t>
      </w:r>
      <w:r w:rsidRPr="00B11C18">
        <w:rPr>
          <w:rFonts w:ascii="Times New Roman" w:hAnsi="Times New Roman" w:cs="Times New Roman"/>
          <w:color w:val="auto"/>
          <w:sz w:val="24"/>
          <w:szCs w:val="24"/>
          <w:lang w:eastAsia="en-US"/>
        </w:rPr>
        <w:t xml:space="preserve"> et </w:t>
      </w:r>
      <w:r w:rsidRPr="00B11C18">
        <w:rPr>
          <w:rFonts w:ascii="Times New Roman" w:hAnsi="Times New Roman" w:cs="Times New Roman"/>
          <w:color w:val="auto"/>
          <w:sz w:val="24"/>
          <w:szCs w:val="24"/>
        </w:rPr>
        <w:t>44,87% ; 60,7% ; 74,67% pour la bentonite.</w:t>
      </w:r>
    </w:p>
    <w:p w:rsidR="004B7364" w:rsidRPr="00362501" w:rsidRDefault="004B7364" w:rsidP="004B7364">
      <w:pPr>
        <w:pStyle w:val="Paragraphedeliste"/>
        <w:tabs>
          <w:tab w:val="left" w:pos="42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D31DB">
        <w:rPr>
          <w:rFonts w:ascii="Times New Roman" w:hAnsi="Times New Roman" w:cs="Times New Roman"/>
          <w:sz w:val="24"/>
          <w:szCs w:val="24"/>
          <w:lang w:eastAsia="en-US"/>
        </w:rPr>
        <w:t xml:space="preserve">Les tests de lixiviation (XP 31-211, EN 12547-2, TCLP) ont montré que l’addition du ciment diminue le </w:t>
      </w:r>
      <w:proofErr w:type="spellStart"/>
      <w:r w:rsidRPr="004D31DB">
        <w:rPr>
          <w:rFonts w:ascii="Times New Roman" w:hAnsi="Times New Roman" w:cs="Times New Roman"/>
          <w:sz w:val="24"/>
          <w:szCs w:val="24"/>
          <w:lang w:eastAsia="en-US"/>
        </w:rPr>
        <w:t>relargage</w:t>
      </w:r>
      <w:proofErr w:type="spellEnd"/>
      <w:r w:rsidRPr="004D31DB">
        <w:rPr>
          <w:rFonts w:ascii="Times New Roman" w:hAnsi="Times New Roman" w:cs="Times New Roman"/>
          <w:sz w:val="24"/>
          <w:szCs w:val="24"/>
          <w:lang w:eastAsia="en-US"/>
        </w:rPr>
        <w:t xml:space="preserve"> des chlorures. Par contre, l’incorporation des additifs </w:t>
      </w:r>
      <w:r w:rsidR="002860A6">
        <w:rPr>
          <w:rFonts w:ascii="Times New Roman" w:hAnsi="Times New Roman" w:cs="Times New Roman"/>
          <w:sz w:val="24"/>
          <w:szCs w:val="24"/>
          <w:lang w:eastAsia="en-US"/>
        </w:rPr>
        <w:t>a donné l’effet inverse.</w:t>
      </w:r>
    </w:p>
    <w:p w:rsidR="004B7364" w:rsidRDefault="004B7364" w:rsidP="004B7364">
      <w:pPr>
        <w:tabs>
          <w:tab w:val="left" w:pos="426"/>
        </w:tabs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221447">
        <w:rPr>
          <w:rFonts w:ascii="Times New Roman" w:hAnsi="Times New Roman" w:cs="Times New Roman"/>
          <w:color w:val="auto"/>
          <w:sz w:val="24"/>
          <w:szCs w:val="24"/>
        </w:rPr>
        <w:t>L’application du plan de surface composite pour trois facteurs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a permis</w:t>
      </w:r>
      <w:r w:rsidRPr="00221447">
        <w:rPr>
          <w:rFonts w:ascii="Times New Roman" w:hAnsi="Times New Roman" w:cs="Times New Roman"/>
          <w:color w:val="auto"/>
          <w:sz w:val="24"/>
          <w:szCs w:val="24"/>
        </w:rPr>
        <w:t xml:space="preserve"> de trouver les conditions optimales. Pour le domaine d’étude considéré, la résistance à la compression recherchée (1</w:t>
      </w:r>
      <w:r w:rsidRPr="003F6E4D">
        <w:rPr>
          <w:rFonts w:ascii="Times New Roman" w:hAnsi="Times New Roman" w:cs="Times New Roman"/>
          <w:color w:val="auto"/>
          <w:sz w:val="2"/>
          <w:szCs w:val="2"/>
        </w:rPr>
        <w:t xml:space="preserve"> </w:t>
      </w:r>
      <w:proofErr w:type="spellStart"/>
      <w:r w:rsidRPr="00221447">
        <w:rPr>
          <w:rFonts w:ascii="Times New Roman" w:hAnsi="Times New Roman" w:cs="Times New Roman"/>
          <w:color w:val="auto"/>
          <w:sz w:val="24"/>
          <w:szCs w:val="24"/>
        </w:rPr>
        <w:t>MPa</w:t>
      </w:r>
      <w:proofErr w:type="spellEnd"/>
      <w:r w:rsidRPr="00221447">
        <w:rPr>
          <w:rFonts w:ascii="Times New Roman" w:hAnsi="Times New Roman" w:cs="Times New Roman"/>
          <w:color w:val="auto"/>
          <w:sz w:val="24"/>
          <w:szCs w:val="24"/>
        </w:rPr>
        <w:t>) est obtenue ave</w:t>
      </w:r>
      <w:r>
        <w:rPr>
          <w:rFonts w:ascii="Times New Roman" w:hAnsi="Times New Roman" w:cs="Times New Roman"/>
          <w:color w:val="auto"/>
          <w:sz w:val="24"/>
          <w:szCs w:val="24"/>
        </w:rPr>
        <w:t>c un rapport (déblais/liant)</w:t>
      </w:r>
      <w:r w:rsidRPr="00221447">
        <w:rPr>
          <w:rFonts w:ascii="Times New Roman" w:hAnsi="Times New Roman" w:cs="Times New Roman"/>
          <w:color w:val="auto"/>
          <w:sz w:val="24"/>
          <w:szCs w:val="24"/>
        </w:rPr>
        <w:t xml:space="preserve"> de 0,385</w:t>
      </w:r>
      <w:r>
        <w:rPr>
          <w:rFonts w:ascii="Times New Roman" w:hAnsi="Times New Roman" w:cs="Times New Roman"/>
          <w:color w:val="auto"/>
          <w:sz w:val="24"/>
          <w:szCs w:val="24"/>
        </w:rPr>
        <w:t> ;</w:t>
      </w:r>
      <w:r w:rsidRPr="00221447">
        <w:rPr>
          <w:rFonts w:ascii="Times New Roman" w:hAnsi="Times New Roman" w:cs="Times New Roman"/>
          <w:color w:val="auto"/>
          <w:sz w:val="24"/>
          <w:szCs w:val="24"/>
        </w:rPr>
        <w:t xml:space="preserve"> un rapport (cendre</w:t>
      </w:r>
      <w:r>
        <w:rPr>
          <w:rFonts w:ascii="Times New Roman" w:hAnsi="Times New Roman" w:cs="Times New Roman"/>
          <w:color w:val="auto"/>
          <w:sz w:val="24"/>
          <w:szCs w:val="24"/>
        </w:rPr>
        <w:t>s</w:t>
      </w:r>
      <w:r w:rsidRPr="00221447">
        <w:rPr>
          <w:rFonts w:ascii="Times New Roman" w:hAnsi="Times New Roman" w:cs="Times New Roman"/>
          <w:color w:val="auto"/>
          <w:sz w:val="24"/>
          <w:szCs w:val="24"/>
        </w:rPr>
        <w:t>/cime</w:t>
      </w:r>
      <w:r>
        <w:rPr>
          <w:rFonts w:ascii="Times New Roman" w:hAnsi="Times New Roman" w:cs="Times New Roman"/>
          <w:color w:val="auto"/>
          <w:sz w:val="24"/>
          <w:szCs w:val="24"/>
        </w:rPr>
        <w:t>nt)</w:t>
      </w:r>
      <w:r w:rsidRPr="00221447">
        <w:rPr>
          <w:rFonts w:ascii="Times New Roman" w:hAnsi="Times New Roman" w:cs="Times New Roman"/>
          <w:color w:val="auto"/>
          <w:sz w:val="24"/>
          <w:szCs w:val="24"/>
        </w:rPr>
        <w:t xml:space="preserve"> de 3,248 et un temps de cure de 28 jours.</w:t>
      </w:r>
    </w:p>
    <w:p w:rsidR="004B7364" w:rsidRPr="00384C01" w:rsidRDefault="004B7364" w:rsidP="004B7364">
      <w:pPr>
        <w:tabs>
          <w:tab w:val="left" w:pos="426"/>
        </w:tabs>
        <w:jc w:val="both"/>
        <w:rPr>
          <w:rFonts w:ascii="Times New Roman" w:hAnsi="Times New Roman" w:cs="Times New Roman"/>
          <w:bCs/>
          <w:color w:val="FF0000"/>
          <w:szCs w:val="24"/>
        </w:rPr>
      </w:pPr>
    </w:p>
    <w:p w:rsidR="004B7364" w:rsidRDefault="004B7364" w:rsidP="00897996">
      <w:pPr>
        <w:spacing w:line="276" w:lineRule="auto"/>
        <w:jc w:val="both"/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b/>
          <w:bCs/>
          <w:i/>
          <w:iCs/>
          <w:color w:val="auto"/>
          <w:sz w:val="24"/>
          <w:szCs w:val="24"/>
          <w:lang w:eastAsia="en-US"/>
        </w:rPr>
        <w:t>Mots clés</w:t>
      </w:r>
      <w:r w:rsidRPr="00EA523C">
        <w:rPr>
          <w:rFonts w:ascii="Times New Roman" w:eastAsiaTheme="minorHAnsi" w:hAnsi="Times New Roman" w:cs="Times New Roman"/>
          <w:b/>
          <w:bCs/>
          <w:i/>
          <w:iCs/>
          <w:color w:val="auto"/>
          <w:sz w:val="40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:</w:t>
      </w:r>
      <w:r w:rsidRPr="00EA523C">
        <w:rPr>
          <w:rFonts w:ascii="Times New Roman" w:eastAsiaTheme="minorHAnsi" w:hAnsi="Times New Roman" w:cs="Times New Roman"/>
          <w:color w:val="auto"/>
          <w:sz w:val="40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déblais de forage pétroliers,</w:t>
      </w:r>
      <w:r w:rsidRPr="00EA523C">
        <w:rPr>
          <w:rFonts w:ascii="Times New Roman" w:eastAsiaTheme="minorHAnsi" w:hAnsi="Times New Roman" w:cs="Times New Roman"/>
          <w:color w:val="auto"/>
          <w:sz w:val="40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stabilisation,</w:t>
      </w:r>
      <w:r w:rsidRPr="00EA523C">
        <w:rPr>
          <w:rFonts w:ascii="Times New Roman" w:eastAsiaTheme="minorHAnsi" w:hAnsi="Times New Roman" w:cs="Times New Roman"/>
          <w:color w:val="auto"/>
          <w:sz w:val="40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solidification,</w:t>
      </w:r>
      <w:r w:rsidRPr="004C58CB">
        <w:rPr>
          <w:rFonts w:ascii="Times New Roman" w:eastAsiaTheme="minorHAnsi" w:hAnsi="Times New Roman" w:cs="Times New Roman"/>
          <w:color w:val="auto"/>
          <w:sz w:val="48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lixiviation,</w:t>
      </w:r>
      <w:r w:rsidRPr="00EA523C">
        <w:rPr>
          <w:rFonts w:ascii="Times New Roman" w:eastAsiaTheme="minorHAnsi" w:hAnsi="Times New Roman" w:cs="Times New Roman"/>
          <w:color w:val="auto"/>
          <w:sz w:val="40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 xml:space="preserve">valorisation,   </w:t>
      </w:r>
    </w:p>
    <w:p w:rsidR="004B7364" w:rsidRDefault="006D13DE" w:rsidP="00897996">
      <w:pPr>
        <w:spacing w:line="276" w:lineRule="auto"/>
        <w:jc w:val="both"/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 xml:space="preserve">                  </w:t>
      </w:r>
      <w:proofErr w:type="gramStart"/>
      <w:r w:rsidR="004B7364"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>plans</w:t>
      </w:r>
      <w:proofErr w:type="gramEnd"/>
      <w:r w:rsidR="004B7364"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 xml:space="preserve"> d’expériences.</w:t>
      </w:r>
    </w:p>
    <w:p w:rsidR="006C5891" w:rsidRDefault="006C5891"/>
    <w:sectPr w:rsidR="006C5891" w:rsidSect="006C5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B7364"/>
    <w:rsid w:val="001F1CA6"/>
    <w:rsid w:val="002860A6"/>
    <w:rsid w:val="00317635"/>
    <w:rsid w:val="004B7364"/>
    <w:rsid w:val="004F2BD7"/>
    <w:rsid w:val="006763C7"/>
    <w:rsid w:val="006C5891"/>
    <w:rsid w:val="006D13DE"/>
    <w:rsid w:val="007E4EF6"/>
    <w:rsid w:val="00897996"/>
    <w:rsid w:val="00C437F2"/>
    <w:rsid w:val="00D1651A"/>
    <w:rsid w:val="00D73AAA"/>
    <w:rsid w:val="00E619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364"/>
    <w:pPr>
      <w:spacing w:line="240" w:lineRule="auto"/>
      <w:jc w:val="left"/>
    </w:pPr>
    <w:rPr>
      <w:rFonts w:ascii="Arial" w:eastAsia="Times New Roman" w:hAnsi="Arial" w:cs="Arial"/>
      <w:color w:val="000080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B7364"/>
    <w:pPr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</w:rPr>
  </w:style>
  <w:style w:type="character" w:customStyle="1" w:styleId="hps">
    <w:name w:val="hps"/>
    <w:rsid w:val="004B73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Hichem</dc:creator>
  <cp:keywords/>
  <dc:description/>
  <cp:lastModifiedBy>utilisateur</cp:lastModifiedBy>
  <cp:revision>12</cp:revision>
  <dcterms:created xsi:type="dcterms:W3CDTF">2013-07-15T02:08:00Z</dcterms:created>
  <dcterms:modified xsi:type="dcterms:W3CDTF">2013-07-17T00:22:00Z</dcterms:modified>
</cp:coreProperties>
</file>