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B0015" w:rsidRPr="003B0015" w:rsidRDefault="003B0015" w:rsidP="003B0015">
      <w:pPr>
        <w:bidi w:val="0"/>
        <w:rPr>
          <w:lang w:val="fr-FR" w:bidi="ar-DZ"/>
        </w:rPr>
      </w:pPr>
      <w:r w:rsidRPr="003B0015">
        <w:rPr>
          <w:lang w:val="fr-FR" w:bidi="ar-DZ"/>
        </w:rPr>
        <w:t>Les Clusters présentant des liaisons hydrogène sont d'une grande importance aussi bien dans le domaine de la Chimie macromoléculaire que dans celui de la Biologie. La mesure, en laboratoire, des propriétés magnétiques du second ordre de ces clusters est souvent délicate voire impossible du fait de la difficulté d'obtention des conditions expérimentales optimales. La voie théorique peut, au moyen de méthodes quantiques appropriées, permettre l'évaluation de ces grandeurs avec un niveau de précision élevé.</w:t>
      </w:r>
    </w:p>
    <w:p w:rsidR="003B0015" w:rsidRPr="003B0015" w:rsidRDefault="003B0015" w:rsidP="003B0015">
      <w:pPr>
        <w:bidi w:val="0"/>
        <w:rPr>
          <w:lang w:val="fr-FR" w:bidi="ar-DZ"/>
        </w:rPr>
      </w:pPr>
      <w:r w:rsidRPr="003B0015">
        <w:rPr>
          <w:lang w:val="fr-FR" w:bidi="ar-DZ"/>
        </w:rPr>
        <w:t>Nous présentons, dans la première partie de notre travail, une étude quantique des propriétés magnétiques de clusters (H2O)n et (HF)n (n=1,5) déterminées au moyen des méthodes MP2 et DFT avec la base de fonctions 6-311++G**. Les techniques CSGT et GIAO sont utilisées pour cela. Nous calculs indiquent, en particulier, que :</w:t>
      </w:r>
    </w:p>
    <w:p w:rsidR="003B0015" w:rsidRPr="003B0015" w:rsidRDefault="003B0015" w:rsidP="003B0015">
      <w:pPr>
        <w:bidi w:val="0"/>
        <w:rPr>
          <w:lang w:val="fr-FR" w:bidi="ar-DZ"/>
        </w:rPr>
      </w:pPr>
      <w:r w:rsidRPr="003B0015">
        <w:rPr>
          <w:lang w:val="fr-FR" w:bidi="ar-DZ"/>
        </w:rPr>
        <w:t>-pour chacun des complexes étudiés la configuration la plus stable déterminée par optimisation de géométrie, est la forme cyclique dés lors que n ?3.</w:t>
      </w:r>
    </w:p>
    <w:p w:rsidR="003B0015" w:rsidRPr="003B0015" w:rsidRDefault="003B0015" w:rsidP="003B0015">
      <w:pPr>
        <w:bidi w:val="0"/>
        <w:rPr>
          <w:lang w:val="fr-FR" w:bidi="ar-DZ"/>
        </w:rPr>
      </w:pPr>
      <w:r w:rsidRPr="003B0015">
        <w:rPr>
          <w:lang w:val="fr-FR" w:bidi="ar-DZ"/>
        </w:rPr>
        <w:t>-La susceptibilité magnétique exprimée en fonction de n, suit une loi linéaire.</w:t>
      </w:r>
    </w:p>
    <w:p w:rsidR="003B0015" w:rsidRPr="003B0015" w:rsidRDefault="003B0015" w:rsidP="003B0015">
      <w:pPr>
        <w:bidi w:val="0"/>
        <w:rPr>
          <w:lang w:val="fr-FR" w:bidi="ar-DZ"/>
        </w:rPr>
      </w:pPr>
      <w:r w:rsidRPr="003B0015">
        <w:rPr>
          <w:lang w:val="fr-FR" w:bidi="ar-DZ"/>
        </w:rPr>
        <w:t>-La constante d'écran nucléaire évolue de la même manière le long des séries de systèmes moléculaires étudiés, quelles que soient la méthode et la technique de calcul utilisées.</w:t>
      </w:r>
    </w:p>
    <w:p w:rsidR="003B0015" w:rsidRPr="003B0015" w:rsidRDefault="003B0015" w:rsidP="003B0015">
      <w:pPr>
        <w:bidi w:val="0"/>
        <w:rPr>
          <w:lang w:val="fr-FR" w:bidi="ar-DZ"/>
        </w:rPr>
      </w:pPr>
      <w:r w:rsidRPr="003B0015">
        <w:rPr>
          <w:lang w:val="fr-FR" w:bidi="ar-DZ"/>
        </w:rPr>
        <w:t xml:space="preserve">Nous avons abordé, dans la seconde partie de ce travail, une étude quantique au niveau MP2/ 6-31++G**, de l'hydrolyse de la molécule d'adénine. Nous avons montré,  dans le cadre du modèle de la supermolécule, que deux molécules d'eau sont nécessaires pour rendre compte de ce phénomène. Nous avons mis en évidence, en termes de constantes d'écran nucléaire et de couplage scalaire spin -spin, le processus d'échange de protons entre les différentes molécules en présence : ce processus conduisant à un équilibre tautomère dont nous avons tracé la surface d'énergie potentielle qui nous a permis de déterminer les principales étapes qui caractérisent le phénomène.  </w:t>
      </w:r>
    </w:p>
    <w:p w:rsidR="00B74012" w:rsidRPr="003B0015" w:rsidRDefault="00B74012" w:rsidP="003B0015">
      <w:pPr>
        <w:bidi w:val="0"/>
        <w:rPr>
          <w:rFonts w:hint="cs"/>
          <w:lang w:val="fr-FR" w:bidi="ar-DZ"/>
        </w:rPr>
      </w:pPr>
    </w:p>
    <w:sectPr w:rsidR="00B74012" w:rsidRPr="003B0015"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3B0015"/>
    <w:rsid w:val="003B0015"/>
    <w:rsid w:val="005F47AF"/>
    <w:rsid w:val="00B74012"/>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74012"/>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285</Words>
  <Characters>1625</Characters>
  <Application>Microsoft Office Word</Application>
  <DocSecurity>0</DocSecurity>
  <Lines>13</Lines>
  <Paragraphs>3</Paragraphs>
  <ScaleCrop>false</ScaleCrop>
  <Company/>
  <LinksUpToDate>false</LinksUpToDate>
  <CharactersWithSpaces>1907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2015-11-04T06:43:00Z</dcterms:created>
  <dcterms:modified xsi:type="dcterms:W3CDTF">2015-11-04T06:43:00Z</dcterms:modified>
</cp:coreProperties>
</file>