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0BB6" w:rsidRPr="001130F4" w:rsidRDefault="005A0BB6" w:rsidP="005A0BB6">
      <w:pPr>
        <w:tabs>
          <w:tab w:val="left" w:pos="4111"/>
          <w:tab w:val="left" w:pos="4253"/>
          <w:tab w:val="left" w:pos="4678"/>
        </w:tabs>
        <w:jc w:val="center"/>
        <w:rPr>
          <w:rFonts w:ascii="Calisto MT" w:hAnsi="Calisto MT" w:cstheme="majorBidi"/>
          <w:b/>
          <w:bCs/>
          <w:i/>
          <w:iCs/>
          <w:sz w:val="28"/>
          <w:szCs w:val="28"/>
        </w:rPr>
      </w:pPr>
      <w:r w:rsidRPr="001130F4">
        <w:rPr>
          <w:rFonts w:ascii="Calisto MT" w:hAnsi="Calisto MT" w:cstheme="majorBidi"/>
          <w:b/>
          <w:bCs/>
          <w:i/>
          <w:iCs/>
          <w:sz w:val="28"/>
          <w:szCs w:val="28"/>
        </w:rPr>
        <w:t>Résumé</w:t>
      </w:r>
    </w:p>
    <w:p w:rsidR="005A0BB6" w:rsidRPr="001130F4" w:rsidRDefault="005A0BB6" w:rsidP="005A0BB6">
      <w:pPr>
        <w:tabs>
          <w:tab w:val="left" w:pos="4111"/>
          <w:tab w:val="left" w:pos="4253"/>
          <w:tab w:val="left" w:pos="4678"/>
        </w:tabs>
        <w:spacing w:line="240" w:lineRule="auto"/>
        <w:ind w:firstLine="426"/>
        <w:jc w:val="both"/>
        <w:rPr>
          <w:rFonts w:asciiTheme="majorBidi" w:hAnsiTheme="majorBidi" w:cstheme="majorBidi"/>
          <w:sz w:val="24"/>
          <w:szCs w:val="24"/>
        </w:rPr>
      </w:pPr>
      <w:r w:rsidRPr="001130F4">
        <w:rPr>
          <w:rFonts w:asciiTheme="majorBidi" w:hAnsiTheme="majorBidi" w:cstheme="majorBidi"/>
          <w:sz w:val="24"/>
          <w:szCs w:val="24"/>
        </w:rPr>
        <w:t xml:space="preserve">Les maladies inflammatoires chroniques de l’intestin (MICI) regroupent la maladie de Crohn et la rectocolite hémorragique. Ces affections seraient consécutives à un dysfonctionnement  du système  immunitaire au niveau de l’intestin. Le déséquilibre du </w:t>
      </w:r>
      <w:proofErr w:type="spellStart"/>
      <w:r w:rsidRPr="001130F4">
        <w:rPr>
          <w:rFonts w:asciiTheme="majorBidi" w:hAnsiTheme="majorBidi" w:cstheme="majorBidi"/>
          <w:sz w:val="24"/>
          <w:szCs w:val="24"/>
        </w:rPr>
        <w:t>microbiote</w:t>
      </w:r>
      <w:proofErr w:type="spellEnd"/>
      <w:r w:rsidRPr="001130F4">
        <w:rPr>
          <w:rFonts w:asciiTheme="majorBidi" w:hAnsiTheme="majorBidi" w:cstheme="majorBidi"/>
          <w:sz w:val="24"/>
          <w:szCs w:val="24"/>
        </w:rPr>
        <w:t xml:space="preserve"> intestinal (</w:t>
      </w:r>
      <w:proofErr w:type="spellStart"/>
      <w:r w:rsidRPr="001130F4">
        <w:rPr>
          <w:rFonts w:asciiTheme="majorBidi" w:hAnsiTheme="majorBidi" w:cstheme="majorBidi"/>
          <w:sz w:val="24"/>
          <w:szCs w:val="24"/>
        </w:rPr>
        <w:t>dysbiose</w:t>
      </w:r>
      <w:proofErr w:type="spellEnd"/>
      <w:r w:rsidRPr="001130F4">
        <w:rPr>
          <w:rFonts w:asciiTheme="majorBidi" w:hAnsiTheme="majorBidi" w:cstheme="majorBidi"/>
          <w:sz w:val="24"/>
          <w:szCs w:val="24"/>
        </w:rPr>
        <w:t xml:space="preserve">) est un élément clé dans la physiopathologie des MICI. De ce fait, l’utilisation des </w:t>
      </w:r>
      <w:proofErr w:type="spellStart"/>
      <w:r w:rsidRPr="001130F4">
        <w:rPr>
          <w:rFonts w:asciiTheme="majorBidi" w:hAnsiTheme="majorBidi" w:cstheme="majorBidi"/>
          <w:sz w:val="24"/>
          <w:szCs w:val="24"/>
        </w:rPr>
        <w:t>prébiotiques</w:t>
      </w:r>
      <w:proofErr w:type="spellEnd"/>
      <w:r w:rsidRPr="001130F4">
        <w:rPr>
          <w:rFonts w:asciiTheme="majorBidi" w:hAnsiTheme="majorBidi" w:cstheme="majorBidi"/>
          <w:sz w:val="24"/>
          <w:szCs w:val="24"/>
        </w:rPr>
        <w:t>/</w:t>
      </w:r>
      <w:proofErr w:type="spellStart"/>
      <w:r w:rsidRPr="001130F4">
        <w:rPr>
          <w:rFonts w:asciiTheme="majorBidi" w:hAnsiTheme="majorBidi" w:cstheme="majorBidi"/>
          <w:sz w:val="24"/>
          <w:szCs w:val="24"/>
        </w:rPr>
        <w:t>probiotiques</w:t>
      </w:r>
      <w:proofErr w:type="spellEnd"/>
      <w:r w:rsidRPr="001130F4">
        <w:rPr>
          <w:rFonts w:asciiTheme="majorBidi" w:hAnsiTheme="majorBidi" w:cstheme="majorBidi"/>
          <w:sz w:val="24"/>
          <w:szCs w:val="24"/>
        </w:rPr>
        <w:t xml:space="preserve"> dans le but de réduire l’inflammation intestinale et rétablir l’équilibre de la flore commensale constitue une approche thérapeutique intéressante. De nombreuses études ont démontré l’implication du monoxyde d’azote (NO) produit par l’iNOS dans la perpétuation de l’inflammation et l’apparition des lésions tissulaires au niveau de l’intestin. D’autre part, l’interleukine-6 (IL-6) est une cytokine multifonctionnelle impliquée dans les mécanismes physiopathologiques des MICI. Des taux très élevés de l’IL-6 ainsi que de son récepteur soluble </w:t>
      </w:r>
      <w:proofErr w:type="spellStart"/>
      <w:r w:rsidRPr="001130F4">
        <w:rPr>
          <w:rFonts w:asciiTheme="majorBidi" w:hAnsiTheme="majorBidi" w:cstheme="majorBidi"/>
          <w:sz w:val="24"/>
          <w:szCs w:val="24"/>
        </w:rPr>
        <w:t>sIL</w:t>
      </w:r>
      <w:proofErr w:type="spellEnd"/>
      <w:r w:rsidRPr="001130F4">
        <w:rPr>
          <w:rFonts w:asciiTheme="majorBidi" w:hAnsiTheme="majorBidi" w:cstheme="majorBidi"/>
          <w:sz w:val="24"/>
          <w:szCs w:val="24"/>
        </w:rPr>
        <w:t xml:space="preserve">-6R sont retrouvés dans la muqueuse colique des patients atteints de MICI. </w:t>
      </w:r>
    </w:p>
    <w:p w:rsidR="005A0BB6" w:rsidRPr="001130F4" w:rsidRDefault="005A0BB6" w:rsidP="005A0BB6">
      <w:pPr>
        <w:tabs>
          <w:tab w:val="left" w:pos="4111"/>
          <w:tab w:val="left" w:pos="4253"/>
          <w:tab w:val="left" w:pos="4678"/>
        </w:tabs>
        <w:spacing w:line="240" w:lineRule="auto"/>
        <w:ind w:firstLine="426"/>
        <w:jc w:val="both"/>
        <w:rPr>
          <w:rFonts w:asciiTheme="majorBidi" w:hAnsiTheme="majorBidi" w:cstheme="majorBidi"/>
          <w:sz w:val="24"/>
          <w:szCs w:val="24"/>
        </w:rPr>
      </w:pPr>
      <w:r w:rsidRPr="001130F4">
        <w:rPr>
          <w:rFonts w:asciiTheme="majorBidi" w:hAnsiTheme="majorBidi" w:cstheme="majorBidi"/>
          <w:sz w:val="24"/>
          <w:szCs w:val="24"/>
        </w:rPr>
        <w:t>Dans la première partie de notre étude nous avons tenté de mettre en évidence  un rôle thérapeutique de l’</w:t>
      </w:r>
      <w:proofErr w:type="spellStart"/>
      <w:r w:rsidRPr="001130F4">
        <w:rPr>
          <w:rFonts w:asciiTheme="majorBidi" w:hAnsiTheme="majorBidi" w:cstheme="majorBidi"/>
          <w:sz w:val="24"/>
          <w:szCs w:val="24"/>
        </w:rPr>
        <w:t>Ultrabiotique</w:t>
      </w:r>
      <w:proofErr w:type="spellEnd"/>
      <w:r w:rsidRPr="001130F4">
        <w:rPr>
          <w:rFonts w:asciiTheme="majorBidi" w:hAnsiTheme="majorBidi" w:cstheme="majorBidi"/>
          <w:sz w:val="24"/>
          <w:szCs w:val="24"/>
        </w:rPr>
        <w:t xml:space="preserve">®  (un </w:t>
      </w:r>
      <w:proofErr w:type="spellStart"/>
      <w:r w:rsidRPr="001130F4">
        <w:rPr>
          <w:rFonts w:asciiTheme="majorBidi" w:hAnsiTheme="majorBidi" w:cstheme="majorBidi"/>
          <w:sz w:val="24"/>
          <w:szCs w:val="24"/>
        </w:rPr>
        <w:t>probiotique</w:t>
      </w:r>
      <w:proofErr w:type="spellEnd"/>
      <w:r w:rsidRPr="001130F4">
        <w:rPr>
          <w:rFonts w:asciiTheme="majorBidi" w:hAnsiTheme="majorBidi" w:cstheme="majorBidi"/>
          <w:sz w:val="24"/>
          <w:szCs w:val="24"/>
        </w:rPr>
        <w:t xml:space="preserve">) et de l’inuline (un </w:t>
      </w:r>
      <w:proofErr w:type="spellStart"/>
      <w:r w:rsidRPr="001130F4">
        <w:rPr>
          <w:rFonts w:asciiTheme="majorBidi" w:hAnsiTheme="majorBidi" w:cstheme="majorBidi"/>
          <w:sz w:val="24"/>
          <w:szCs w:val="24"/>
        </w:rPr>
        <w:t>prébiotique</w:t>
      </w:r>
      <w:proofErr w:type="spellEnd"/>
      <w:r w:rsidRPr="001130F4">
        <w:rPr>
          <w:rFonts w:asciiTheme="majorBidi" w:hAnsiTheme="majorBidi" w:cstheme="majorBidi"/>
          <w:sz w:val="24"/>
          <w:szCs w:val="24"/>
        </w:rPr>
        <w:t xml:space="preserve">) durant la colite expérimentale induite par le </w:t>
      </w:r>
      <w:proofErr w:type="spellStart"/>
      <w:r w:rsidRPr="001130F4">
        <w:rPr>
          <w:rFonts w:asciiTheme="majorBidi" w:hAnsiTheme="majorBidi" w:cstheme="majorBidi"/>
          <w:sz w:val="24"/>
          <w:szCs w:val="24"/>
        </w:rPr>
        <w:t>Dextran</w:t>
      </w:r>
      <w:proofErr w:type="spellEnd"/>
      <w:r w:rsidRPr="001130F4">
        <w:rPr>
          <w:rFonts w:asciiTheme="majorBidi" w:hAnsiTheme="majorBidi" w:cstheme="majorBidi"/>
          <w:sz w:val="24"/>
          <w:szCs w:val="24"/>
        </w:rPr>
        <w:t xml:space="preserve"> Sulfate Sodium (DSS). Pour cela nous avons ciblé la  modulation de la production du monoxyde d’azote in vivo  dans le plasma et in vitro au niveau des </w:t>
      </w:r>
      <w:proofErr w:type="spellStart"/>
      <w:r w:rsidRPr="001130F4">
        <w:rPr>
          <w:rFonts w:asciiTheme="majorBidi" w:hAnsiTheme="majorBidi" w:cstheme="majorBidi"/>
          <w:sz w:val="24"/>
          <w:szCs w:val="24"/>
        </w:rPr>
        <w:t>surnageants</w:t>
      </w:r>
      <w:proofErr w:type="spellEnd"/>
      <w:r w:rsidRPr="001130F4">
        <w:rPr>
          <w:rFonts w:asciiTheme="majorBidi" w:hAnsiTheme="majorBidi" w:cstheme="majorBidi"/>
          <w:sz w:val="24"/>
          <w:szCs w:val="24"/>
        </w:rPr>
        <w:t xml:space="preserve"> de culture des macrophages péritonéaux. Une étude histologique à été réalisée afin de mettre en évidence les effets des </w:t>
      </w:r>
      <w:proofErr w:type="spellStart"/>
      <w:r w:rsidRPr="001130F4">
        <w:rPr>
          <w:rFonts w:asciiTheme="majorBidi" w:hAnsiTheme="majorBidi" w:cstheme="majorBidi"/>
          <w:sz w:val="24"/>
          <w:szCs w:val="24"/>
        </w:rPr>
        <w:t>prébiotiques</w:t>
      </w:r>
      <w:proofErr w:type="spellEnd"/>
      <w:r w:rsidRPr="001130F4">
        <w:rPr>
          <w:rFonts w:asciiTheme="majorBidi" w:hAnsiTheme="majorBidi" w:cstheme="majorBidi"/>
          <w:sz w:val="24"/>
          <w:szCs w:val="24"/>
        </w:rPr>
        <w:t xml:space="preserve"> et des </w:t>
      </w:r>
      <w:proofErr w:type="spellStart"/>
      <w:r w:rsidRPr="001130F4">
        <w:rPr>
          <w:rFonts w:asciiTheme="majorBidi" w:hAnsiTheme="majorBidi" w:cstheme="majorBidi"/>
          <w:sz w:val="24"/>
          <w:szCs w:val="24"/>
        </w:rPr>
        <w:t>probiotiques</w:t>
      </w:r>
      <w:proofErr w:type="spellEnd"/>
      <w:r w:rsidRPr="001130F4">
        <w:rPr>
          <w:rFonts w:asciiTheme="majorBidi" w:hAnsiTheme="majorBidi" w:cstheme="majorBidi"/>
          <w:sz w:val="24"/>
          <w:szCs w:val="24"/>
        </w:rPr>
        <w:t xml:space="preserve"> sur l’atténuation des lésions intestinales. Dans la seconde partie de notre étude, nous avons étudié l’effet de l’IL-6 sur l’</w:t>
      </w:r>
      <w:proofErr w:type="spellStart"/>
      <w:r w:rsidRPr="001130F4">
        <w:rPr>
          <w:rFonts w:asciiTheme="majorBidi" w:hAnsiTheme="majorBidi" w:cstheme="majorBidi"/>
          <w:sz w:val="24"/>
          <w:szCs w:val="24"/>
        </w:rPr>
        <w:t>immunomodulation</w:t>
      </w:r>
      <w:proofErr w:type="spellEnd"/>
      <w:r w:rsidRPr="001130F4">
        <w:rPr>
          <w:rFonts w:asciiTheme="majorBidi" w:hAnsiTheme="majorBidi" w:cstheme="majorBidi"/>
          <w:sz w:val="24"/>
          <w:szCs w:val="24"/>
        </w:rPr>
        <w:t xml:space="preserve"> de l’iNOS. Pour cela nous avons évalué la production du monoxyde d’azote in vitro au niveau des </w:t>
      </w:r>
      <w:proofErr w:type="spellStart"/>
      <w:r w:rsidRPr="001130F4">
        <w:rPr>
          <w:rFonts w:asciiTheme="majorBidi" w:hAnsiTheme="majorBidi" w:cstheme="majorBidi"/>
          <w:sz w:val="24"/>
          <w:szCs w:val="24"/>
        </w:rPr>
        <w:t>surnageants</w:t>
      </w:r>
      <w:proofErr w:type="spellEnd"/>
      <w:r w:rsidRPr="001130F4">
        <w:rPr>
          <w:rFonts w:asciiTheme="majorBidi" w:hAnsiTheme="majorBidi" w:cstheme="majorBidi"/>
          <w:sz w:val="24"/>
          <w:szCs w:val="24"/>
        </w:rPr>
        <w:t xml:space="preserve"> de culture des macrophages péritonéaux dans deux modèles expérimentaux de MICI : un modèle de colite aigue induite par le DSS et un modèle d’inflammation intestinale induite par l’indométacine. Par ailleurs, nous avons également évalué la production du monoxyde d’azote in vitro au niveau des </w:t>
      </w:r>
      <w:proofErr w:type="spellStart"/>
      <w:r w:rsidRPr="001130F4">
        <w:rPr>
          <w:rFonts w:asciiTheme="majorBidi" w:hAnsiTheme="majorBidi" w:cstheme="majorBidi"/>
          <w:sz w:val="24"/>
          <w:szCs w:val="24"/>
        </w:rPr>
        <w:t>surnageants</w:t>
      </w:r>
      <w:proofErr w:type="spellEnd"/>
      <w:r w:rsidRPr="001130F4">
        <w:rPr>
          <w:rFonts w:asciiTheme="majorBidi" w:hAnsiTheme="majorBidi" w:cstheme="majorBidi"/>
          <w:sz w:val="24"/>
          <w:szCs w:val="24"/>
        </w:rPr>
        <w:t xml:space="preserve"> de culture de biopsies coliques de patients atteints de la rectocolite hémorragique en phase active.</w:t>
      </w:r>
    </w:p>
    <w:p w:rsidR="005A0BB6" w:rsidRPr="001130F4" w:rsidRDefault="005A0BB6" w:rsidP="005A0BB6">
      <w:pPr>
        <w:tabs>
          <w:tab w:val="left" w:pos="4111"/>
          <w:tab w:val="left" w:pos="4253"/>
          <w:tab w:val="left" w:pos="4678"/>
        </w:tabs>
        <w:spacing w:line="240" w:lineRule="auto"/>
        <w:ind w:firstLine="426"/>
        <w:jc w:val="both"/>
        <w:rPr>
          <w:rFonts w:asciiTheme="majorBidi" w:hAnsiTheme="majorBidi" w:cstheme="majorBidi"/>
          <w:sz w:val="24"/>
          <w:szCs w:val="24"/>
        </w:rPr>
      </w:pPr>
      <w:r w:rsidRPr="001130F4">
        <w:rPr>
          <w:rFonts w:asciiTheme="majorBidi" w:hAnsiTheme="majorBidi" w:cstheme="majorBidi"/>
          <w:sz w:val="24"/>
          <w:szCs w:val="24"/>
        </w:rPr>
        <w:t>Nos résultats ont montré la présence  d’un effet anti-inflammatoire bénéfique de l’</w:t>
      </w:r>
      <w:proofErr w:type="spellStart"/>
      <w:r w:rsidRPr="001130F4">
        <w:rPr>
          <w:rFonts w:asciiTheme="majorBidi" w:hAnsiTheme="majorBidi" w:cstheme="majorBidi"/>
          <w:sz w:val="24"/>
          <w:szCs w:val="24"/>
        </w:rPr>
        <w:t>Ultrabiotique</w:t>
      </w:r>
      <w:proofErr w:type="spellEnd"/>
      <w:r w:rsidRPr="001130F4">
        <w:rPr>
          <w:rFonts w:asciiTheme="majorBidi" w:hAnsiTheme="majorBidi" w:cstheme="majorBidi"/>
          <w:sz w:val="24"/>
          <w:szCs w:val="24"/>
        </w:rPr>
        <w:t xml:space="preserve">® traduit par  une diminution du taux du NO dans les </w:t>
      </w:r>
      <w:proofErr w:type="spellStart"/>
      <w:r w:rsidRPr="001130F4">
        <w:rPr>
          <w:rFonts w:asciiTheme="majorBidi" w:hAnsiTheme="majorBidi" w:cstheme="majorBidi"/>
          <w:sz w:val="24"/>
          <w:szCs w:val="24"/>
        </w:rPr>
        <w:t>surnageants</w:t>
      </w:r>
      <w:proofErr w:type="spellEnd"/>
      <w:r w:rsidRPr="001130F4">
        <w:rPr>
          <w:rFonts w:asciiTheme="majorBidi" w:hAnsiTheme="majorBidi" w:cstheme="majorBidi"/>
          <w:sz w:val="24"/>
          <w:szCs w:val="24"/>
        </w:rPr>
        <w:t xml:space="preserve"> de culture des macrophages péritonéaux du groupe DSS-</w:t>
      </w:r>
      <w:proofErr w:type="spellStart"/>
      <w:r w:rsidRPr="001130F4">
        <w:rPr>
          <w:rFonts w:asciiTheme="majorBidi" w:hAnsiTheme="majorBidi" w:cstheme="majorBidi"/>
          <w:sz w:val="24"/>
          <w:szCs w:val="24"/>
        </w:rPr>
        <w:t>Prb</w:t>
      </w:r>
      <w:proofErr w:type="spellEnd"/>
      <w:r w:rsidRPr="001130F4">
        <w:rPr>
          <w:rFonts w:asciiTheme="majorBidi" w:hAnsiTheme="majorBidi" w:cstheme="majorBidi"/>
          <w:sz w:val="24"/>
          <w:szCs w:val="24"/>
        </w:rPr>
        <w:t xml:space="preserve">. Nous avons également observé une amélioration de l’organisation  architecturale du  côlon : </w:t>
      </w:r>
      <w:proofErr w:type="spellStart"/>
      <w:r w:rsidRPr="001130F4">
        <w:rPr>
          <w:rFonts w:asciiTheme="majorBidi" w:hAnsiTheme="majorBidi" w:cstheme="majorBidi"/>
          <w:sz w:val="24"/>
          <w:szCs w:val="24"/>
        </w:rPr>
        <w:t>réépithélisation</w:t>
      </w:r>
      <w:proofErr w:type="spellEnd"/>
      <w:r w:rsidRPr="001130F4">
        <w:rPr>
          <w:rFonts w:asciiTheme="majorBidi" w:hAnsiTheme="majorBidi" w:cstheme="majorBidi"/>
          <w:sz w:val="24"/>
          <w:szCs w:val="24"/>
        </w:rPr>
        <w:t xml:space="preserve"> de la muqueuse au niveau des lésions, régénération des cryptes et production du mucus. Nos résultats, suite à l’utilisation de l’inuline, suggèrent un effet préventif de ce dernier à l’origine de l’apparition tardive des symptômes et une perte incomplète de l’organisation histologique du côlon chez le groupe DSS-In. Par ailleurs, les résultats de l’étude de l’effet de l’IL-6  sur l’</w:t>
      </w:r>
      <w:proofErr w:type="spellStart"/>
      <w:r w:rsidRPr="001130F4">
        <w:rPr>
          <w:rFonts w:asciiTheme="majorBidi" w:hAnsiTheme="majorBidi" w:cstheme="majorBidi"/>
          <w:sz w:val="24"/>
          <w:szCs w:val="24"/>
        </w:rPr>
        <w:t>immunomodulation</w:t>
      </w:r>
      <w:proofErr w:type="spellEnd"/>
      <w:r w:rsidRPr="001130F4">
        <w:rPr>
          <w:rFonts w:asciiTheme="majorBidi" w:hAnsiTheme="majorBidi" w:cstheme="majorBidi"/>
          <w:sz w:val="24"/>
          <w:szCs w:val="24"/>
        </w:rPr>
        <w:t xml:space="preserve"> de l’iNOS ont  révélé un effet anti-inflammatoire de l’IL-6 durant la colite et l’entéropathie expérimentales traduit par une diminution du taux de NO dans les </w:t>
      </w:r>
      <w:proofErr w:type="spellStart"/>
      <w:r w:rsidRPr="001130F4">
        <w:rPr>
          <w:rFonts w:asciiTheme="majorBidi" w:hAnsiTheme="majorBidi" w:cstheme="majorBidi"/>
          <w:sz w:val="24"/>
          <w:szCs w:val="24"/>
        </w:rPr>
        <w:t>surnageants</w:t>
      </w:r>
      <w:proofErr w:type="spellEnd"/>
      <w:r w:rsidRPr="001130F4">
        <w:rPr>
          <w:rFonts w:asciiTheme="majorBidi" w:hAnsiTheme="majorBidi" w:cstheme="majorBidi"/>
          <w:sz w:val="24"/>
          <w:szCs w:val="24"/>
        </w:rPr>
        <w:t xml:space="preserve"> de culture des macrophages péritonéaux du groupe DSS et du groupe "Indo".  En revanche, la stimulation des biopsies coliques de patients atteints de la rectocolite hémorragique en phase active avec l’IL-6 a induit une production accrue de monoxyde d’azote  ainsi qu’une prolifération des cellules épithéliales intestinales. Ces résultats suggèrent que l’implication de l’IL-6 dans le maintien de la réponse inflammatoire chronique passe également à travers l’induction de l’iNOS.</w:t>
      </w:r>
    </w:p>
    <w:p w:rsidR="00BC365A" w:rsidRPr="005A0BB6" w:rsidRDefault="005A0BB6" w:rsidP="005A0BB6">
      <w:pPr>
        <w:tabs>
          <w:tab w:val="left" w:pos="4111"/>
          <w:tab w:val="left" w:pos="4253"/>
          <w:tab w:val="left" w:pos="4678"/>
        </w:tabs>
        <w:spacing w:line="240" w:lineRule="auto"/>
        <w:jc w:val="both"/>
        <w:rPr>
          <w:rFonts w:asciiTheme="majorBidi" w:hAnsiTheme="majorBidi" w:cstheme="majorBidi"/>
        </w:rPr>
      </w:pPr>
      <w:r w:rsidRPr="0046125C">
        <w:rPr>
          <w:rFonts w:asciiTheme="majorBidi" w:hAnsiTheme="majorBidi" w:cstheme="majorBidi"/>
          <w:b/>
          <w:bCs/>
        </w:rPr>
        <w:t>Mots clés/Abréviations :</w:t>
      </w:r>
      <w:r w:rsidRPr="0046125C">
        <w:rPr>
          <w:rFonts w:asciiTheme="majorBidi" w:hAnsiTheme="majorBidi" w:cstheme="majorBidi"/>
        </w:rPr>
        <w:t xml:space="preserve"> Maladies Inflammatoires Chroniques de l’Intestin : MICI ; rectocolite hémorragique : RCH ; maladie de Crohn : MC ;  </w:t>
      </w:r>
      <w:proofErr w:type="spellStart"/>
      <w:r w:rsidRPr="0046125C">
        <w:rPr>
          <w:rFonts w:asciiTheme="majorBidi" w:hAnsiTheme="majorBidi" w:cstheme="majorBidi"/>
        </w:rPr>
        <w:t>Dextran</w:t>
      </w:r>
      <w:proofErr w:type="spellEnd"/>
      <w:r w:rsidRPr="0046125C">
        <w:rPr>
          <w:rFonts w:asciiTheme="majorBidi" w:hAnsiTheme="majorBidi" w:cstheme="majorBidi"/>
        </w:rPr>
        <w:t xml:space="preserve"> Sulfate Sodium : DSS ; NO Synthase inductible : iNOS ; monoxyde d’azote : NO ; macrophages : </w:t>
      </w:r>
      <w:proofErr w:type="spellStart"/>
      <w:r w:rsidRPr="0046125C">
        <w:rPr>
          <w:rFonts w:asciiTheme="majorBidi" w:hAnsiTheme="majorBidi" w:cstheme="majorBidi"/>
        </w:rPr>
        <w:t>Mϕ</w:t>
      </w:r>
      <w:proofErr w:type="spellEnd"/>
      <w:r w:rsidRPr="0046125C">
        <w:rPr>
          <w:rFonts w:asciiTheme="majorBidi" w:hAnsiTheme="majorBidi" w:cstheme="majorBidi"/>
        </w:rPr>
        <w:t xml:space="preserve"> ; Interleukine-6 : IL-6 ; </w:t>
      </w:r>
      <w:proofErr w:type="spellStart"/>
      <w:r w:rsidRPr="0046125C">
        <w:rPr>
          <w:rFonts w:asciiTheme="majorBidi" w:hAnsiTheme="majorBidi" w:cstheme="majorBidi"/>
        </w:rPr>
        <w:t>Ultrabiotique</w:t>
      </w:r>
      <w:proofErr w:type="spellEnd"/>
      <w:r w:rsidRPr="0046125C">
        <w:rPr>
          <w:rFonts w:asciiTheme="majorBidi" w:hAnsiTheme="majorBidi" w:cstheme="majorBidi"/>
        </w:rPr>
        <w:t xml:space="preserve">® ; inuline : In ; indométacine : Indo, </w:t>
      </w:r>
      <w:proofErr w:type="spellStart"/>
      <w:r w:rsidRPr="0046125C">
        <w:rPr>
          <w:rFonts w:asciiTheme="majorBidi" w:hAnsiTheme="majorBidi" w:cstheme="majorBidi"/>
        </w:rPr>
        <w:t>Probiotiques</w:t>
      </w:r>
      <w:proofErr w:type="spellEnd"/>
      <w:r w:rsidRPr="0046125C">
        <w:rPr>
          <w:rFonts w:asciiTheme="majorBidi" w:hAnsiTheme="majorBidi" w:cstheme="majorBidi"/>
        </w:rPr>
        <w:t xml:space="preserve"> : Prb.</w:t>
      </w:r>
    </w:p>
    <w:sectPr w:rsidR="00BC365A" w:rsidRPr="005A0BB6" w:rsidSect="00BC365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rsids>
    <w:rsidRoot w:val="005A0BB6"/>
    <w:rsid w:val="005A0BB6"/>
    <w:rsid w:val="00BC365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0BB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607</Words>
  <Characters>3342</Characters>
  <Application>Microsoft Office Word</Application>
  <DocSecurity>0</DocSecurity>
  <Lines>27</Lines>
  <Paragraphs>7</Paragraphs>
  <ScaleCrop>false</ScaleCrop>
  <Company>Hewlett-Packard</Company>
  <LinksUpToDate>false</LinksUpToDate>
  <CharactersWithSpaces>3942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aziza</dc:creator>
  <cp:lastModifiedBy>aziza</cp:lastModifiedBy>
  <cp:revision>1</cp:revision>
  <dcterms:created xsi:type="dcterms:W3CDTF">2012-07-12T10:41:00Z</dcterms:created>
  <dcterms:modified xsi:type="dcterms:W3CDTF">2012-07-12T10:41:00Z</dcterms:modified>
</cp:coreProperties>
</file>