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2F83" w:rsidRDefault="00A12F83" w:rsidP="00A12F83">
      <w:r>
        <w:t>L'objectif de ce présent travail est d'étudier et de combiner des techniques de traitement du signal et de codage afin   d'exploiter la diversité en transmission et en réception dans des canaux  à évanouissement.   La première partie de ce mémoire, nous traitons particulièrement les aspects du codage spatio - temporel par bloc (en anglais : Spatio - Temporal Block Coding (STBC)) dans les systèmes MIMO (en anglais : Multiple Input Multiple Output).   Deux différentes architectures spatio - temporelles adaptées au contexte des systèmes CDMA sont données.</w:t>
      </w:r>
    </w:p>
    <w:p w:rsidR="00A12F83" w:rsidRDefault="00A12F83" w:rsidP="00A12F83">
      <w:r>
        <w:t xml:space="preserve">  La plupart des contributions faites dans le contexte MIMO considèrent que le canal de transmission est connu en émission  et en réception. Dans la réalité, le canal de transmission devrait être estime au moins en réception. Habituellement, dans  les systèmes de communication, nous utilisons des séquences d'apprentissage afin d'estimer le canal de transmission. </w:t>
      </w:r>
    </w:p>
    <w:p w:rsidR="00A12F83" w:rsidRDefault="00A12F83" w:rsidP="00A12F83">
      <w:r>
        <w:t xml:space="preserve"> Cependant, des résultats récents montrent que les systèmes utilisant les séquences d'apprentissage dans le contexte  MIMO sont sous - optimaux, particulièrement en termes de rapport signal sur bruit (en anglais : Signal to Noise Ratio : SNR) . De plus, ils réduisent le flux des informations dans le système.</w:t>
      </w:r>
    </w:p>
    <w:p w:rsidR="002632A6" w:rsidRDefault="00A12F83" w:rsidP="00A12F83">
      <w:r>
        <w:t xml:space="preserve">  C'est pourquoi, dans la seconde partie de notre mémoire, nous nous intéressons aux techniques d'identification aveugle,  et en particulier à la méthode statistique émergente appelée : Analyse en Composante Indépendante (ACI). Dans ce cadre  nous présentons et nous testons plusieurs algorithmes de l'ACI, et nous proposons une nouvelle combinaison de l'ACI  bruitée avec STBC. Tous les algorithmes proposés ont été validés et évalués par des simulations.</w:t>
      </w:r>
    </w:p>
    <w:sectPr w:rsidR="002632A6" w:rsidSect="002632A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12F83"/>
    <w:rsid w:val="002632A6"/>
    <w:rsid w:val="00A12F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2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260</Words>
  <Characters>1432</Characters>
  <Application>Microsoft Office Word</Application>
  <DocSecurity>0</DocSecurity>
  <Lines>11</Lines>
  <Paragraphs>3</Paragraphs>
  <ScaleCrop>false</ScaleCrop>
  <Company/>
  <LinksUpToDate>false</LinksUpToDate>
  <CharactersWithSpaces>1689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2014-11-20T09:32:00Z</dcterms:created>
  <dcterms:modified xsi:type="dcterms:W3CDTF">2014-11-20T09:34:00Z</dcterms:modified>
</cp:coreProperties>
</file>