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284A" w:rsidRDefault="00CA284A" w:rsidP="00CA284A">
      <w:r>
        <w:t>Les écoulements de convection naturelle, dans les espaces confinés, ont fait l’objet de</w:t>
      </w:r>
    </w:p>
    <w:p w:rsidR="00CA284A" w:rsidRDefault="00CA284A" w:rsidP="00CA284A">
      <w:r>
        <w:t>nombreuses investigations justifiées par leur présence et leur implication dans de</w:t>
      </w:r>
    </w:p>
    <w:p w:rsidR="00CA284A" w:rsidRDefault="00CA284A" w:rsidP="00CA284A">
      <w:r>
        <w:t>nombreux phénomènes naturels et processus industriels (le refroidissement des circuits</w:t>
      </w:r>
    </w:p>
    <w:p w:rsidR="00CA284A" w:rsidRDefault="00CA284A" w:rsidP="00CA284A">
      <w:r>
        <w:t>électroniques, des réacteurs nucléaires, la thermique du bâtiment, les systèmes thermiques</w:t>
      </w:r>
    </w:p>
    <w:p w:rsidR="00CA284A" w:rsidRDefault="00CA284A" w:rsidP="00CA284A">
      <w:r>
        <w:t>solaires, etc.).</w:t>
      </w:r>
    </w:p>
    <w:p w:rsidR="00CA284A" w:rsidRDefault="00CA284A" w:rsidP="00CA284A">
      <w:r>
        <w:t>L’objectif de cette thèse est de faire une étude numérique tridimensionnelle des</w:t>
      </w:r>
    </w:p>
    <w:p w:rsidR="00CA284A" w:rsidRDefault="00CA284A" w:rsidP="00CA284A">
      <w:r>
        <w:t>écoulements de convection naturelle dans une cavité d’air inclinée différentiellement</w:t>
      </w:r>
    </w:p>
    <w:p w:rsidR="00CA284A" w:rsidRDefault="00CA284A" w:rsidP="00CA284A">
      <w:r>
        <w:t>chauffée. Pour cela, un code de calcul 3D a été utilisé pour résoudre les équations de</w:t>
      </w:r>
    </w:p>
    <w:p w:rsidR="00CA284A" w:rsidRDefault="00CA284A" w:rsidP="00CA284A">
      <w:r>
        <w:t>Navier-Stokes tridimensionnelles pour des fluides incompressibles. Ce code est basé sur la</w:t>
      </w:r>
    </w:p>
    <w:p w:rsidR="00CA284A" w:rsidRDefault="00CA284A" w:rsidP="00CA284A">
      <w:r>
        <w:t>méthode spectrale de « projection- diffusion » en collocation Chebyshev qui fait partie</w:t>
      </w:r>
    </w:p>
    <w:p w:rsidR="00CA284A" w:rsidRDefault="00CA284A" w:rsidP="00CA284A">
      <w:r>
        <w:t>des méthodes dites de précision infinie.</w:t>
      </w:r>
    </w:p>
    <w:p w:rsidR="00CA284A" w:rsidRDefault="00CA284A" w:rsidP="00CA284A">
      <w:r>
        <w:t>La mise sous forme adimensionnelle des équations gouvernantes fait apparaître des</w:t>
      </w:r>
    </w:p>
    <w:p w:rsidR="00CA284A" w:rsidRDefault="00CA284A" w:rsidP="00CA284A">
      <w:r>
        <w:t>paramètres de contrôle, à savoir : le nombre de Rayleigh thermogravitationnel, le nombre</w:t>
      </w:r>
    </w:p>
    <w:p w:rsidR="00CA284A" w:rsidRDefault="00CA284A" w:rsidP="00CA284A">
      <w:r>
        <w:t>de Prandtl, le rapport de forme et enfin l’angle d’inclinaison de la cavité, dont nous avons</w:t>
      </w:r>
    </w:p>
    <w:p w:rsidR="00CA284A" w:rsidRDefault="00CA284A" w:rsidP="00CA284A">
      <w:r>
        <w:t>examiné leurs influences sur la structure dynamique et thermique de l’écoulement, ainsi</w:t>
      </w:r>
    </w:p>
    <w:p w:rsidR="00CA284A" w:rsidRDefault="00CA284A" w:rsidP="00CA284A">
      <w:r>
        <w:t>que sur le transfert thermique.</w:t>
      </w:r>
    </w:p>
    <w:p w:rsidR="00CA284A" w:rsidRDefault="00CA284A" w:rsidP="00CA284A">
      <w:r>
        <w:t>Les résultats obtenus montrent qu’il existe une composante de vitesse non nulle</w:t>
      </w:r>
    </w:p>
    <w:p w:rsidR="00CA284A" w:rsidRDefault="00CA284A" w:rsidP="00CA284A">
      <w:r>
        <w:t>suivant la troisième direction, sa distribution est notable près des parois terminales</w:t>
      </w:r>
    </w:p>
    <w:p w:rsidR="00CA284A" w:rsidRDefault="00CA284A" w:rsidP="00CA284A">
      <w:r>
        <w:t>adiabatiques particulièrement aux coins de la cavité, sa valeur croit lorsque le nombre</w:t>
      </w:r>
    </w:p>
    <w:p w:rsidR="00CA284A" w:rsidRDefault="00CA284A" w:rsidP="00CA284A">
      <w:r>
        <w:t>de Rayleigh augmente et diminue avec l’augmentation de l’angle d’inclinaison.</w:t>
      </w:r>
    </w:p>
    <w:p w:rsidR="00CA284A" w:rsidRDefault="00CA284A" w:rsidP="00CA284A">
      <w:r>
        <w:t>Le nombre de Nusselt global, calculé près de la paroi froide et chaude, montre que</w:t>
      </w:r>
    </w:p>
    <w:p w:rsidR="00CA284A" w:rsidRDefault="00CA284A" w:rsidP="00CA284A">
      <w:r>
        <w:t>l’échange thermique est très important lorsque la valeur de l’angle d’inclinaison est</w:t>
      </w:r>
    </w:p>
    <w:p w:rsidR="00F96CFA" w:rsidRDefault="00CA284A" w:rsidP="00CA284A">
      <w:r>
        <w:t>nulle.</w:t>
      </w:r>
    </w:p>
    <w:sectPr w:rsidR="00F96CFA" w:rsidSect="00F96CFA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CA284A"/>
    <w:rsid w:val="00CA284A"/>
    <w:rsid w:val="00F9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6CF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266</Words>
  <Characters>1467</Characters>
  <Application>Microsoft Office Word</Application>
  <DocSecurity>0</DocSecurity>
  <Lines>12</Lines>
  <Paragraphs>3</Paragraphs>
  <ScaleCrop>false</ScaleCrop>
  <Company/>
  <LinksUpToDate>false</LinksUpToDate>
  <CharactersWithSpaces>1730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2015-01-20T10:42:00Z</dcterms:created>
  <dcterms:modified xsi:type="dcterms:W3CDTF">2015-01-20T10:42:00Z</dcterms:modified>
</cp:coreProperties>
</file>