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4E1F" w:rsidRDefault="001D4E1F" w:rsidP="001C36A7">
      <w:pPr>
        <w:rPr>
          <w:rFonts w:asciiTheme="majorBidi" w:hAnsiTheme="majorBidi" w:cstheme="majorBidi"/>
          <w:b/>
          <w:bCs/>
          <w:sz w:val="32"/>
          <w:szCs w:val="32"/>
          <w:u w:val="single"/>
        </w:rPr>
      </w:pPr>
    </w:p>
    <w:p w:rsidR="001D4E1F" w:rsidRDefault="001D4E1F" w:rsidP="001C36A7">
      <w:pPr>
        <w:rPr>
          <w:rFonts w:asciiTheme="majorBidi" w:hAnsiTheme="majorBidi" w:cstheme="majorBidi"/>
          <w:b/>
          <w:bCs/>
          <w:sz w:val="32"/>
          <w:szCs w:val="32"/>
          <w:u w:val="single"/>
        </w:rPr>
      </w:pPr>
    </w:p>
    <w:p w:rsidR="001D4E1F" w:rsidRDefault="001D4E1F" w:rsidP="001C36A7">
      <w:pPr>
        <w:rPr>
          <w:rFonts w:asciiTheme="majorBidi" w:hAnsiTheme="majorBidi" w:cstheme="majorBidi"/>
          <w:b/>
          <w:bCs/>
          <w:sz w:val="32"/>
          <w:szCs w:val="32"/>
          <w:u w:val="single"/>
        </w:rPr>
      </w:pPr>
    </w:p>
    <w:p w:rsidR="001C36A7" w:rsidRPr="007519BD" w:rsidRDefault="001C36A7" w:rsidP="001C36A7">
      <w:pPr>
        <w:rPr>
          <w:rFonts w:asciiTheme="majorBidi" w:hAnsiTheme="majorBidi" w:cstheme="majorBidi"/>
          <w:b/>
          <w:bCs/>
        </w:rPr>
      </w:pPr>
      <w:bookmarkStart w:id="0" w:name="_GoBack"/>
      <w:bookmarkEnd w:id="0"/>
      <w:r w:rsidRPr="001D4E1F">
        <w:rPr>
          <w:rFonts w:asciiTheme="majorBidi" w:hAnsiTheme="majorBidi" w:cstheme="majorBidi"/>
          <w:b/>
          <w:bCs/>
          <w:sz w:val="32"/>
          <w:szCs w:val="32"/>
          <w:u w:val="single"/>
        </w:rPr>
        <w:t>Résumé</w:t>
      </w:r>
      <w:r w:rsidR="001D4E1F">
        <w:rPr>
          <w:rFonts w:asciiTheme="majorBidi" w:hAnsiTheme="majorBidi" w:cstheme="majorBidi"/>
          <w:b/>
          <w:bCs/>
        </w:rPr>
        <w:t> :</w:t>
      </w:r>
    </w:p>
    <w:p w:rsidR="001C36A7" w:rsidRPr="001D4E1F" w:rsidRDefault="001C36A7" w:rsidP="00033E7E">
      <w:pPr>
        <w:jc w:val="both"/>
        <w:rPr>
          <w:rFonts w:asciiTheme="majorBidi" w:hAnsiTheme="majorBidi" w:cstheme="majorBidi"/>
          <w:sz w:val="24"/>
          <w:szCs w:val="24"/>
        </w:rPr>
      </w:pPr>
      <w:r w:rsidRPr="001D4E1F">
        <w:rPr>
          <w:rFonts w:asciiTheme="majorBidi" w:hAnsiTheme="majorBidi" w:cstheme="majorBidi"/>
          <w:sz w:val="24"/>
          <w:szCs w:val="24"/>
        </w:rPr>
        <w:t>Les travaux présentés dans cette thèse constituent une contribution à la valorisation d’une plante médicinale saharienne de Tamanrasset (</w:t>
      </w:r>
      <w:r w:rsidRPr="001D4E1F">
        <w:rPr>
          <w:rFonts w:asciiTheme="majorBidi" w:hAnsiTheme="majorBidi" w:cstheme="majorBidi"/>
          <w:i/>
          <w:iCs/>
          <w:sz w:val="24"/>
          <w:szCs w:val="24"/>
        </w:rPr>
        <w:t>Teucrium polium</w:t>
      </w:r>
      <w:r w:rsidR="00033E7E" w:rsidRPr="001D4E1F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Pr="001D4E1F">
        <w:rPr>
          <w:rFonts w:asciiTheme="majorBidi" w:hAnsiTheme="majorBidi" w:cstheme="majorBidi"/>
          <w:sz w:val="24"/>
          <w:szCs w:val="24"/>
        </w:rPr>
        <w:t>L.</w:t>
      </w:r>
      <w:r w:rsidR="00033E7E" w:rsidRPr="001D4E1F">
        <w:rPr>
          <w:rFonts w:asciiTheme="majorBidi" w:hAnsiTheme="majorBidi" w:cstheme="majorBidi"/>
          <w:sz w:val="24"/>
          <w:szCs w:val="24"/>
        </w:rPr>
        <w:t xml:space="preserve"> </w:t>
      </w:r>
      <w:r w:rsidRPr="001D4E1F">
        <w:rPr>
          <w:rFonts w:asciiTheme="majorBidi" w:hAnsiTheme="majorBidi" w:cstheme="majorBidi"/>
          <w:sz w:val="24"/>
          <w:szCs w:val="24"/>
        </w:rPr>
        <w:t xml:space="preserve">subsp. </w:t>
      </w:r>
      <w:r w:rsidRPr="001D4E1F">
        <w:rPr>
          <w:rFonts w:asciiTheme="majorBidi" w:hAnsiTheme="majorBidi" w:cstheme="majorBidi"/>
          <w:i/>
          <w:iCs/>
          <w:sz w:val="24"/>
          <w:szCs w:val="24"/>
        </w:rPr>
        <w:t xml:space="preserve">geyrii </w:t>
      </w:r>
      <w:r w:rsidRPr="001D4E1F">
        <w:rPr>
          <w:rFonts w:asciiTheme="majorBidi" w:hAnsiTheme="majorBidi" w:cstheme="majorBidi"/>
          <w:sz w:val="24"/>
          <w:szCs w:val="24"/>
        </w:rPr>
        <w:t xml:space="preserve">Maire) par l’utilisation des biotechnologies. Notre travail comporte: </w:t>
      </w:r>
      <w:r w:rsidR="00033E7E" w:rsidRPr="001D4E1F">
        <w:rPr>
          <w:rFonts w:asciiTheme="majorBidi" w:hAnsiTheme="majorBidi" w:cstheme="majorBidi"/>
          <w:sz w:val="24"/>
          <w:szCs w:val="24"/>
        </w:rPr>
        <w:t>l</w:t>
      </w:r>
      <w:r w:rsidRPr="001D4E1F">
        <w:rPr>
          <w:rFonts w:asciiTheme="majorBidi" w:hAnsiTheme="majorBidi" w:cstheme="majorBidi"/>
          <w:sz w:val="24"/>
          <w:szCs w:val="24"/>
        </w:rPr>
        <w:t>’étude an</w:t>
      </w:r>
      <w:r w:rsidR="00033E7E" w:rsidRPr="001D4E1F">
        <w:rPr>
          <w:rFonts w:asciiTheme="majorBidi" w:hAnsiTheme="majorBidi" w:cstheme="majorBidi"/>
          <w:sz w:val="24"/>
          <w:szCs w:val="24"/>
        </w:rPr>
        <w:t>atomique,</w:t>
      </w:r>
      <w:r w:rsidRPr="001D4E1F">
        <w:rPr>
          <w:rFonts w:asciiTheme="majorBidi" w:hAnsiTheme="majorBidi" w:cstheme="majorBidi"/>
          <w:sz w:val="24"/>
          <w:szCs w:val="24"/>
        </w:rPr>
        <w:t xml:space="preserve"> </w:t>
      </w:r>
      <w:r w:rsidR="00033E7E" w:rsidRPr="001D4E1F">
        <w:rPr>
          <w:rFonts w:asciiTheme="majorBidi" w:hAnsiTheme="majorBidi" w:cstheme="majorBidi"/>
          <w:sz w:val="24"/>
          <w:szCs w:val="24"/>
        </w:rPr>
        <w:t>l</w:t>
      </w:r>
      <w:r w:rsidRPr="001D4E1F">
        <w:rPr>
          <w:rFonts w:asciiTheme="majorBidi" w:hAnsiTheme="majorBidi" w:cstheme="majorBidi"/>
          <w:sz w:val="24"/>
          <w:szCs w:val="24"/>
        </w:rPr>
        <w:t xml:space="preserve">a culture </w:t>
      </w:r>
      <w:r w:rsidRPr="001D4E1F">
        <w:rPr>
          <w:rFonts w:asciiTheme="majorBidi" w:hAnsiTheme="majorBidi" w:cstheme="majorBidi"/>
          <w:i/>
          <w:iCs/>
          <w:sz w:val="24"/>
          <w:szCs w:val="24"/>
        </w:rPr>
        <w:t>in vitro</w:t>
      </w:r>
      <w:r w:rsidR="008B068F" w:rsidRPr="001D4E1F">
        <w:rPr>
          <w:rFonts w:asciiTheme="majorBidi" w:hAnsiTheme="majorBidi" w:cstheme="majorBidi"/>
          <w:sz w:val="24"/>
          <w:szCs w:val="24"/>
        </w:rPr>
        <w:t>, l</w:t>
      </w:r>
      <w:r w:rsidRPr="001D4E1F">
        <w:rPr>
          <w:rFonts w:asciiTheme="majorBidi" w:hAnsiTheme="majorBidi" w:cstheme="majorBidi"/>
          <w:sz w:val="24"/>
          <w:szCs w:val="24"/>
        </w:rPr>
        <w:t xml:space="preserve">’étude phytochimique comparative </w:t>
      </w:r>
      <w:r w:rsidR="008B068F" w:rsidRPr="001D4E1F">
        <w:rPr>
          <w:rFonts w:asciiTheme="majorBidi" w:hAnsiTheme="majorBidi" w:cstheme="majorBidi"/>
          <w:sz w:val="24"/>
          <w:szCs w:val="24"/>
        </w:rPr>
        <w:t xml:space="preserve">entre matériel </w:t>
      </w:r>
      <w:r w:rsidR="008B068F" w:rsidRPr="001D4E1F">
        <w:rPr>
          <w:rFonts w:asciiTheme="majorBidi" w:hAnsiTheme="majorBidi" w:cstheme="majorBidi"/>
          <w:i/>
          <w:iCs/>
          <w:sz w:val="24"/>
          <w:szCs w:val="24"/>
        </w:rPr>
        <w:t>in situ</w:t>
      </w:r>
      <w:r w:rsidR="008B068F" w:rsidRPr="001D4E1F">
        <w:rPr>
          <w:rFonts w:asciiTheme="majorBidi" w:hAnsiTheme="majorBidi" w:cstheme="majorBidi"/>
          <w:sz w:val="24"/>
          <w:szCs w:val="24"/>
        </w:rPr>
        <w:t xml:space="preserve"> et celui cultivé </w:t>
      </w:r>
      <w:r w:rsidR="008B068F" w:rsidRPr="001D4E1F">
        <w:rPr>
          <w:rFonts w:asciiTheme="majorBidi" w:hAnsiTheme="majorBidi" w:cstheme="majorBidi"/>
          <w:i/>
          <w:iCs/>
          <w:sz w:val="24"/>
          <w:szCs w:val="24"/>
        </w:rPr>
        <w:t>in vitro</w:t>
      </w:r>
      <w:r w:rsidR="008B068F" w:rsidRPr="001D4E1F">
        <w:rPr>
          <w:rFonts w:asciiTheme="majorBidi" w:hAnsiTheme="majorBidi" w:cstheme="majorBidi"/>
          <w:sz w:val="24"/>
          <w:szCs w:val="24"/>
        </w:rPr>
        <w:t xml:space="preserve"> </w:t>
      </w:r>
      <w:r w:rsidR="006C36C2" w:rsidRPr="001D4E1F">
        <w:rPr>
          <w:rFonts w:asciiTheme="majorBidi" w:hAnsiTheme="majorBidi" w:cstheme="majorBidi"/>
          <w:sz w:val="24"/>
          <w:szCs w:val="24"/>
        </w:rPr>
        <w:t xml:space="preserve">qui </w:t>
      </w:r>
      <w:r w:rsidRPr="001D4E1F">
        <w:rPr>
          <w:rFonts w:asciiTheme="majorBidi" w:hAnsiTheme="majorBidi" w:cstheme="majorBidi"/>
          <w:sz w:val="24"/>
          <w:szCs w:val="24"/>
        </w:rPr>
        <w:t xml:space="preserve">a </w:t>
      </w:r>
      <w:r w:rsidR="006C36C2" w:rsidRPr="001D4E1F">
        <w:rPr>
          <w:rFonts w:asciiTheme="majorBidi" w:hAnsiTheme="majorBidi" w:cstheme="majorBidi"/>
          <w:sz w:val="24"/>
          <w:szCs w:val="24"/>
        </w:rPr>
        <w:t>démontré que l</w:t>
      </w:r>
      <w:r w:rsidR="008B068F" w:rsidRPr="001D4E1F">
        <w:rPr>
          <w:rFonts w:asciiTheme="majorBidi" w:hAnsiTheme="majorBidi" w:cstheme="majorBidi"/>
          <w:sz w:val="24"/>
          <w:szCs w:val="24"/>
        </w:rPr>
        <w:t>es teneurs en</w:t>
      </w:r>
      <w:r w:rsidRPr="001D4E1F">
        <w:rPr>
          <w:rFonts w:asciiTheme="majorBidi" w:hAnsiTheme="majorBidi" w:cstheme="majorBidi"/>
          <w:sz w:val="24"/>
          <w:szCs w:val="24"/>
        </w:rPr>
        <w:t xml:space="preserve"> polyphénols </w:t>
      </w:r>
      <w:r w:rsidR="006C36C2" w:rsidRPr="001D4E1F">
        <w:rPr>
          <w:rFonts w:asciiTheme="majorBidi" w:hAnsiTheme="majorBidi" w:cstheme="majorBidi"/>
          <w:sz w:val="24"/>
          <w:szCs w:val="24"/>
        </w:rPr>
        <w:t xml:space="preserve">chez les cals </w:t>
      </w:r>
      <w:r w:rsidRPr="001D4E1F">
        <w:rPr>
          <w:rFonts w:asciiTheme="majorBidi" w:hAnsiTheme="majorBidi" w:cstheme="majorBidi"/>
          <w:sz w:val="24"/>
          <w:szCs w:val="24"/>
        </w:rPr>
        <w:t>sont max</w:t>
      </w:r>
      <w:r w:rsidR="00033E7E" w:rsidRPr="001D4E1F">
        <w:rPr>
          <w:rFonts w:asciiTheme="majorBidi" w:hAnsiTheme="majorBidi" w:cstheme="majorBidi"/>
          <w:sz w:val="24"/>
          <w:szCs w:val="24"/>
        </w:rPr>
        <w:t>imales à 8 mois de leur culture.</w:t>
      </w:r>
      <w:r w:rsidRPr="001D4E1F">
        <w:rPr>
          <w:rFonts w:asciiTheme="majorBidi" w:hAnsiTheme="majorBidi" w:cstheme="majorBidi"/>
          <w:sz w:val="24"/>
          <w:szCs w:val="24"/>
        </w:rPr>
        <w:t xml:space="preserve"> L’analyse par CLHP montre une conformité phytochimique. Toutefois, de nouvelles molécules ont été synthétisées chez le</w:t>
      </w:r>
      <w:r w:rsidR="008B068F" w:rsidRPr="001D4E1F">
        <w:rPr>
          <w:rFonts w:asciiTheme="majorBidi" w:hAnsiTheme="majorBidi" w:cstheme="majorBidi"/>
          <w:sz w:val="24"/>
          <w:szCs w:val="24"/>
        </w:rPr>
        <w:t>s</w:t>
      </w:r>
      <w:r w:rsidRPr="001D4E1F">
        <w:rPr>
          <w:rFonts w:asciiTheme="majorBidi" w:hAnsiTheme="majorBidi" w:cstheme="majorBidi"/>
          <w:sz w:val="24"/>
          <w:szCs w:val="24"/>
        </w:rPr>
        <w:t xml:space="preserve"> </w:t>
      </w:r>
      <w:r w:rsidR="008B068F" w:rsidRPr="001D4E1F">
        <w:rPr>
          <w:rFonts w:asciiTheme="majorBidi" w:hAnsiTheme="majorBidi" w:cstheme="majorBidi"/>
          <w:sz w:val="24"/>
          <w:szCs w:val="24"/>
        </w:rPr>
        <w:t xml:space="preserve">cultures cellulaires. Les tests de toxicité </w:t>
      </w:r>
      <w:r w:rsidR="006C36C2" w:rsidRPr="001D4E1F">
        <w:rPr>
          <w:rFonts w:asciiTheme="majorBidi" w:hAnsiTheme="majorBidi" w:cstheme="majorBidi"/>
          <w:sz w:val="24"/>
          <w:szCs w:val="24"/>
        </w:rPr>
        <w:t>montrent que notre plante n’est pas toxique</w:t>
      </w:r>
      <w:r w:rsidRPr="001D4E1F">
        <w:rPr>
          <w:rFonts w:asciiTheme="majorBidi" w:hAnsiTheme="majorBidi" w:cstheme="majorBidi"/>
          <w:sz w:val="24"/>
          <w:szCs w:val="24"/>
        </w:rPr>
        <w:t>.</w:t>
      </w:r>
      <w:r w:rsidR="006C36C2" w:rsidRPr="001D4E1F">
        <w:rPr>
          <w:rFonts w:asciiTheme="majorBidi" w:hAnsiTheme="majorBidi" w:cstheme="majorBidi"/>
          <w:sz w:val="24"/>
          <w:szCs w:val="24"/>
        </w:rPr>
        <w:t xml:space="preserve"> </w:t>
      </w:r>
      <w:r w:rsidR="008B068F" w:rsidRPr="001D4E1F">
        <w:rPr>
          <w:rFonts w:asciiTheme="majorBidi" w:hAnsiTheme="majorBidi" w:cstheme="majorBidi"/>
          <w:sz w:val="24"/>
          <w:szCs w:val="24"/>
        </w:rPr>
        <w:t>Les résultats de l</w:t>
      </w:r>
      <w:r w:rsidRPr="001D4E1F">
        <w:rPr>
          <w:rFonts w:asciiTheme="majorBidi" w:hAnsiTheme="majorBidi" w:cstheme="majorBidi"/>
          <w:sz w:val="24"/>
          <w:szCs w:val="24"/>
        </w:rPr>
        <w:t>’étude pharmacologique justifie</w:t>
      </w:r>
      <w:r w:rsidR="008B068F" w:rsidRPr="001D4E1F">
        <w:rPr>
          <w:rFonts w:asciiTheme="majorBidi" w:hAnsiTheme="majorBidi" w:cstheme="majorBidi"/>
          <w:sz w:val="24"/>
          <w:szCs w:val="24"/>
        </w:rPr>
        <w:t>nt</w:t>
      </w:r>
      <w:r w:rsidRPr="001D4E1F">
        <w:rPr>
          <w:rFonts w:asciiTheme="majorBidi" w:hAnsiTheme="majorBidi" w:cstheme="majorBidi"/>
          <w:sz w:val="24"/>
          <w:szCs w:val="24"/>
        </w:rPr>
        <w:t xml:space="preserve"> ses multip</w:t>
      </w:r>
      <w:r w:rsidR="00033E7E" w:rsidRPr="001D4E1F">
        <w:rPr>
          <w:rFonts w:asciiTheme="majorBidi" w:hAnsiTheme="majorBidi" w:cstheme="majorBidi"/>
          <w:sz w:val="24"/>
          <w:szCs w:val="24"/>
        </w:rPr>
        <w:t xml:space="preserve">les indications thérapeutiques </w:t>
      </w:r>
      <w:r w:rsidRPr="001D4E1F">
        <w:rPr>
          <w:rFonts w:asciiTheme="majorBidi" w:hAnsiTheme="majorBidi" w:cstheme="majorBidi"/>
          <w:sz w:val="24"/>
          <w:szCs w:val="24"/>
        </w:rPr>
        <w:t>en tradithérapie.</w:t>
      </w:r>
    </w:p>
    <w:p w:rsidR="001C36A7" w:rsidRDefault="001C36A7" w:rsidP="001C36A7">
      <w:pPr>
        <w:jc w:val="both"/>
        <w:rPr>
          <w:rFonts w:asciiTheme="majorBidi" w:hAnsiTheme="majorBidi" w:cstheme="majorBidi"/>
        </w:rPr>
      </w:pPr>
    </w:p>
    <w:p w:rsidR="00271DA6" w:rsidRDefault="00271DA6"/>
    <w:sectPr w:rsidR="00271DA6" w:rsidSect="00271DA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1C36A7"/>
    <w:rsid w:val="00033E7E"/>
    <w:rsid w:val="001C36A7"/>
    <w:rsid w:val="001D4E1F"/>
    <w:rsid w:val="00271DA6"/>
    <w:rsid w:val="006C36C2"/>
    <w:rsid w:val="008B068F"/>
    <w:rsid w:val="00FD1B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71DA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122</Words>
  <Characters>677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Mes Documents</dc:creator>
  <cp:keywords/>
  <dc:description/>
  <cp:lastModifiedBy>b-13</cp:lastModifiedBy>
  <cp:revision>4</cp:revision>
  <dcterms:created xsi:type="dcterms:W3CDTF">2019-02-23T11:30:00Z</dcterms:created>
  <dcterms:modified xsi:type="dcterms:W3CDTF">2019-09-12T09:29:00Z</dcterms:modified>
</cp:coreProperties>
</file>