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4DE5" w:rsidRDefault="00CE4DE5" w:rsidP="00CE4DE5">
      <w:pPr>
        <w:pStyle w:val="Sansinterligne"/>
        <w:jc w:val="center"/>
        <w:rPr>
          <w:rFonts w:ascii="Monotype Corsiva" w:hAnsi="Monotype Corsiva"/>
          <w:b/>
          <w:sz w:val="28"/>
          <w:szCs w:val="28"/>
        </w:rPr>
      </w:pPr>
    </w:p>
    <w:p w:rsidR="00CE4DE5" w:rsidRPr="007134D2" w:rsidRDefault="00CE4DE5" w:rsidP="00CE4DE5">
      <w:pPr>
        <w:pStyle w:val="Sansinterligne"/>
        <w:jc w:val="center"/>
        <w:rPr>
          <w:rFonts w:ascii="Monotype Corsiva" w:hAnsi="Monotype Corsiva"/>
          <w:b/>
          <w:sz w:val="30"/>
          <w:szCs w:val="30"/>
        </w:rPr>
      </w:pPr>
      <w:r w:rsidRPr="007134D2">
        <w:rPr>
          <w:rFonts w:ascii="Monotype Corsiva" w:hAnsi="Monotype Corsiva"/>
          <w:b/>
          <w:sz w:val="30"/>
          <w:szCs w:val="30"/>
        </w:rPr>
        <w:t>Synthèse, caractérisation, comportement électrochimique et activité biologique de complexes mixtes de métaux de transition avec  l’</w:t>
      </w:r>
      <w:proofErr w:type="spellStart"/>
      <w:r w:rsidRPr="007134D2">
        <w:rPr>
          <w:rFonts w:ascii="Monotype Corsiva" w:hAnsi="Monotype Corsiva"/>
          <w:b/>
          <w:sz w:val="30"/>
          <w:szCs w:val="30"/>
        </w:rPr>
        <w:t>isonitrosoacétophenone</w:t>
      </w:r>
      <w:proofErr w:type="spellEnd"/>
      <w:r w:rsidRPr="007134D2">
        <w:rPr>
          <w:rFonts w:ascii="Monotype Corsiva" w:hAnsi="Monotype Corsiva"/>
          <w:b/>
          <w:sz w:val="30"/>
          <w:szCs w:val="30"/>
        </w:rPr>
        <w:t xml:space="preserve"> et un acide aminé.</w:t>
      </w:r>
    </w:p>
    <w:p w:rsidR="0026672A" w:rsidRPr="007134D2" w:rsidRDefault="0026672A" w:rsidP="0026672A">
      <w:pPr>
        <w:pStyle w:val="Sansinterligne"/>
        <w:jc w:val="center"/>
        <w:rPr>
          <w:rFonts w:ascii="Monotype Corsiva" w:hAnsi="Monotype Corsiva"/>
          <w:b/>
          <w:sz w:val="30"/>
          <w:szCs w:val="30"/>
        </w:rPr>
      </w:pPr>
    </w:p>
    <w:p w:rsidR="00CE4DE5" w:rsidRPr="0026672A" w:rsidRDefault="00CE4DE5" w:rsidP="0026672A">
      <w:pPr>
        <w:pStyle w:val="Sansinterligne"/>
        <w:jc w:val="center"/>
        <w:rPr>
          <w:rFonts w:ascii="Monotype Corsiva" w:hAnsi="Monotype Corsiva"/>
          <w:b/>
          <w:sz w:val="36"/>
          <w:szCs w:val="36"/>
        </w:rPr>
      </w:pPr>
    </w:p>
    <w:p w:rsidR="0026672A" w:rsidRPr="0026672A" w:rsidRDefault="0026672A" w:rsidP="0026672A">
      <w:pPr>
        <w:autoSpaceDE w:val="0"/>
        <w:autoSpaceDN w:val="0"/>
        <w:adjustRightInd w:val="0"/>
        <w:spacing w:after="0" w:line="240" w:lineRule="auto"/>
        <w:jc w:val="both"/>
        <w:rPr>
          <w:rFonts w:ascii="Times New Roman" w:hAnsi="Times New Roman"/>
          <w:sz w:val="26"/>
          <w:szCs w:val="26"/>
        </w:rPr>
      </w:pPr>
      <w:r w:rsidRPr="0026672A">
        <w:rPr>
          <w:rFonts w:ascii="Times New Roman" w:hAnsi="Times New Roman"/>
          <w:sz w:val="26"/>
          <w:szCs w:val="26"/>
        </w:rPr>
        <w:t>Des complexes mixtes de métaux de transition (cobalt, nickel et cuivre) avec l’</w:t>
      </w:r>
      <w:proofErr w:type="spellStart"/>
      <w:r w:rsidRPr="0026672A">
        <w:rPr>
          <w:rFonts w:ascii="Times New Roman" w:hAnsi="Times New Roman"/>
          <w:sz w:val="26"/>
          <w:szCs w:val="26"/>
        </w:rPr>
        <w:t>isonitrosoacétohenone</w:t>
      </w:r>
      <w:proofErr w:type="spellEnd"/>
      <w:r w:rsidRPr="0026672A">
        <w:rPr>
          <w:rFonts w:ascii="Times New Roman" w:hAnsi="Times New Roman"/>
          <w:sz w:val="26"/>
          <w:szCs w:val="26"/>
        </w:rPr>
        <w:t xml:space="preserve"> comme ligand primaire et un acide aminé tels que l’histidine, la phénylalanine et le tryptophane comme ligand secondaire, ont été synthétisés et caractérisés par analyse élémentaire, spectroscopie UV-Vis, IR et RPE ainsi que par  </w:t>
      </w:r>
      <w:proofErr w:type="spellStart"/>
      <w:r w:rsidRPr="0026672A">
        <w:rPr>
          <w:rFonts w:ascii="Times New Roman" w:hAnsi="Times New Roman"/>
          <w:sz w:val="26"/>
          <w:szCs w:val="26"/>
        </w:rPr>
        <w:t>conductimétrie</w:t>
      </w:r>
      <w:proofErr w:type="spellEnd"/>
      <w:r w:rsidRPr="0026672A">
        <w:rPr>
          <w:rFonts w:ascii="Times New Roman" w:hAnsi="Times New Roman"/>
          <w:sz w:val="26"/>
          <w:szCs w:val="26"/>
        </w:rPr>
        <w:t xml:space="preserve">. Cette dernière a révélé le caractère non électrolyte des complexes ternaires. </w:t>
      </w:r>
    </w:p>
    <w:p w:rsidR="0026672A" w:rsidRPr="0026672A" w:rsidRDefault="0026672A" w:rsidP="0026672A">
      <w:pPr>
        <w:autoSpaceDE w:val="0"/>
        <w:autoSpaceDN w:val="0"/>
        <w:adjustRightInd w:val="0"/>
        <w:spacing w:after="0" w:line="240" w:lineRule="auto"/>
        <w:jc w:val="both"/>
        <w:rPr>
          <w:rFonts w:ascii="Times New Roman" w:hAnsi="Times New Roman"/>
          <w:sz w:val="26"/>
          <w:szCs w:val="26"/>
        </w:rPr>
      </w:pPr>
      <w:r w:rsidRPr="0026672A">
        <w:rPr>
          <w:rFonts w:ascii="Times New Roman" w:hAnsi="Times New Roman"/>
          <w:sz w:val="26"/>
          <w:szCs w:val="26"/>
        </w:rPr>
        <w:t>L’étude des spectres IR de ces complexes a montré que l’</w:t>
      </w:r>
      <w:proofErr w:type="spellStart"/>
      <w:r w:rsidRPr="0026672A">
        <w:rPr>
          <w:rFonts w:ascii="Times New Roman" w:hAnsi="Times New Roman"/>
          <w:sz w:val="26"/>
          <w:szCs w:val="26"/>
        </w:rPr>
        <w:t>isonitrosocaétophénone</w:t>
      </w:r>
      <w:proofErr w:type="spellEnd"/>
      <w:r w:rsidRPr="0026672A">
        <w:rPr>
          <w:rFonts w:ascii="Times New Roman" w:hAnsi="Times New Roman"/>
          <w:sz w:val="26"/>
          <w:szCs w:val="26"/>
        </w:rPr>
        <w:t xml:space="preserve"> se lie au métal sous sa forme </w:t>
      </w:r>
      <w:proofErr w:type="spellStart"/>
      <w:r w:rsidRPr="0026672A">
        <w:rPr>
          <w:rFonts w:ascii="Times New Roman" w:hAnsi="Times New Roman"/>
          <w:sz w:val="26"/>
          <w:szCs w:val="26"/>
        </w:rPr>
        <w:t>déprotonée</w:t>
      </w:r>
      <w:proofErr w:type="spellEnd"/>
      <w:r w:rsidRPr="0026672A">
        <w:rPr>
          <w:rFonts w:ascii="Times New Roman" w:hAnsi="Times New Roman"/>
          <w:sz w:val="26"/>
          <w:szCs w:val="26"/>
        </w:rPr>
        <w:t xml:space="preserve"> d’une manière  </w:t>
      </w:r>
      <w:proofErr w:type="spellStart"/>
      <w:r w:rsidRPr="0026672A">
        <w:rPr>
          <w:rFonts w:ascii="Times New Roman" w:hAnsi="Times New Roman"/>
          <w:sz w:val="26"/>
          <w:szCs w:val="26"/>
        </w:rPr>
        <w:t>bidentate</w:t>
      </w:r>
      <w:proofErr w:type="spellEnd"/>
      <w:r w:rsidRPr="0026672A">
        <w:rPr>
          <w:rFonts w:ascii="Times New Roman" w:hAnsi="Times New Roman"/>
          <w:sz w:val="26"/>
          <w:szCs w:val="26"/>
        </w:rPr>
        <w:t xml:space="preserve"> par l’atome d’oxygène du groupement carbonyle et par l’atome d’azote de la fonction </w:t>
      </w:r>
      <w:proofErr w:type="spellStart"/>
      <w:r w:rsidRPr="0026672A">
        <w:rPr>
          <w:rFonts w:ascii="Times New Roman" w:hAnsi="Times New Roman"/>
          <w:sz w:val="26"/>
          <w:szCs w:val="26"/>
        </w:rPr>
        <w:t>azométhine</w:t>
      </w:r>
      <w:proofErr w:type="spellEnd"/>
      <w:r w:rsidRPr="0026672A">
        <w:rPr>
          <w:rFonts w:ascii="Times New Roman" w:hAnsi="Times New Roman"/>
          <w:sz w:val="26"/>
          <w:szCs w:val="26"/>
        </w:rPr>
        <w:t xml:space="preserve">. Quant aux acides aminés, leur mode de coordination se fait également sous la forme </w:t>
      </w:r>
      <w:proofErr w:type="spellStart"/>
      <w:r w:rsidRPr="0026672A">
        <w:rPr>
          <w:rFonts w:ascii="Times New Roman" w:hAnsi="Times New Roman"/>
          <w:sz w:val="26"/>
          <w:szCs w:val="26"/>
        </w:rPr>
        <w:t>déprotonée</w:t>
      </w:r>
      <w:proofErr w:type="spellEnd"/>
      <w:r w:rsidRPr="0026672A">
        <w:rPr>
          <w:rFonts w:ascii="Times New Roman" w:hAnsi="Times New Roman"/>
          <w:sz w:val="26"/>
          <w:szCs w:val="26"/>
        </w:rPr>
        <w:t xml:space="preserve"> par l’atome d’azote du groupement amine et par l’atome d’oxygène du groupement carboxyle. </w:t>
      </w:r>
    </w:p>
    <w:p w:rsidR="0026672A" w:rsidRPr="0026672A" w:rsidRDefault="0026672A" w:rsidP="0026672A">
      <w:pPr>
        <w:autoSpaceDE w:val="0"/>
        <w:autoSpaceDN w:val="0"/>
        <w:adjustRightInd w:val="0"/>
        <w:spacing w:after="0" w:line="240" w:lineRule="auto"/>
        <w:jc w:val="both"/>
        <w:rPr>
          <w:rFonts w:ascii="Times New Roman" w:hAnsi="Times New Roman"/>
          <w:sz w:val="26"/>
          <w:szCs w:val="26"/>
        </w:rPr>
      </w:pPr>
      <w:r w:rsidRPr="0026672A">
        <w:rPr>
          <w:rFonts w:ascii="Times New Roman" w:hAnsi="Times New Roman"/>
          <w:sz w:val="26"/>
          <w:szCs w:val="26"/>
        </w:rPr>
        <w:t xml:space="preserve">La spectrophotométrie UV-Visible nous a permis de déterminer la coordinence de l’ion central et de proposer une structure pseudo octaédrique pour tous les complexes. La théorie de la fonctionnelle de la densité (DFT) nous a permis d’optimiser la structure des complexes notamment  la position </w:t>
      </w:r>
      <w:r w:rsidRPr="0026672A">
        <w:rPr>
          <w:rFonts w:ascii="Times New Roman" w:hAnsi="Times New Roman"/>
          <w:i/>
          <w:sz w:val="26"/>
          <w:szCs w:val="26"/>
        </w:rPr>
        <w:t xml:space="preserve">cis </w:t>
      </w:r>
      <w:r w:rsidRPr="0026672A">
        <w:rPr>
          <w:rFonts w:ascii="Times New Roman" w:hAnsi="Times New Roman"/>
          <w:sz w:val="26"/>
          <w:szCs w:val="26"/>
        </w:rPr>
        <w:t xml:space="preserve">ou </w:t>
      </w:r>
      <w:proofErr w:type="spellStart"/>
      <w:r w:rsidRPr="0026672A">
        <w:rPr>
          <w:rFonts w:ascii="Times New Roman" w:hAnsi="Times New Roman"/>
          <w:i/>
          <w:sz w:val="26"/>
          <w:szCs w:val="26"/>
        </w:rPr>
        <w:t>trans</w:t>
      </w:r>
      <w:proofErr w:type="spellEnd"/>
      <w:r w:rsidRPr="0026672A">
        <w:rPr>
          <w:rFonts w:ascii="Times New Roman" w:hAnsi="Times New Roman"/>
          <w:sz w:val="26"/>
          <w:szCs w:val="26"/>
        </w:rPr>
        <w:t xml:space="preserve"> des deux </w:t>
      </w:r>
      <w:proofErr w:type="spellStart"/>
      <w:r w:rsidRPr="0026672A">
        <w:rPr>
          <w:rFonts w:ascii="Times New Roman" w:hAnsi="Times New Roman"/>
          <w:sz w:val="26"/>
          <w:szCs w:val="26"/>
        </w:rPr>
        <w:t>molecules</w:t>
      </w:r>
      <w:proofErr w:type="spellEnd"/>
      <w:r w:rsidRPr="0026672A">
        <w:rPr>
          <w:rFonts w:ascii="Times New Roman" w:hAnsi="Times New Roman"/>
          <w:sz w:val="26"/>
          <w:szCs w:val="26"/>
        </w:rPr>
        <w:t xml:space="preserve"> d’eau liées au métal. Il s’avère que la forme </w:t>
      </w:r>
      <w:proofErr w:type="spellStart"/>
      <w:r w:rsidRPr="0026672A">
        <w:rPr>
          <w:rFonts w:ascii="Times New Roman" w:hAnsi="Times New Roman"/>
          <w:i/>
          <w:sz w:val="26"/>
          <w:szCs w:val="26"/>
        </w:rPr>
        <w:t>trans</w:t>
      </w:r>
      <w:proofErr w:type="spellEnd"/>
      <w:r w:rsidRPr="0026672A">
        <w:rPr>
          <w:rFonts w:ascii="Times New Roman" w:hAnsi="Times New Roman"/>
          <w:sz w:val="26"/>
          <w:szCs w:val="26"/>
        </w:rPr>
        <w:t xml:space="preserve"> est énergiquement plus stable que la forme </w:t>
      </w:r>
      <w:r w:rsidRPr="0026672A">
        <w:rPr>
          <w:rFonts w:ascii="Times New Roman" w:hAnsi="Times New Roman"/>
          <w:i/>
          <w:sz w:val="26"/>
          <w:szCs w:val="26"/>
        </w:rPr>
        <w:t>cis</w:t>
      </w:r>
      <w:r w:rsidRPr="0026672A">
        <w:rPr>
          <w:rFonts w:ascii="Times New Roman" w:hAnsi="Times New Roman"/>
          <w:sz w:val="26"/>
          <w:szCs w:val="26"/>
        </w:rPr>
        <w:t xml:space="preserve"> pour les complexes de cuivre, contrairement aux complexes de cobalt et de nickel.</w:t>
      </w:r>
    </w:p>
    <w:p w:rsidR="0026672A" w:rsidRPr="0026672A" w:rsidRDefault="0026672A" w:rsidP="0026672A">
      <w:pPr>
        <w:autoSpaceDE w:val="0"/>
        <w:autoSpaceDN w:val="0"/>
        <w:adjustRightInd w:val="0"/>
        <w:spacing w:after="0" w:line="240" w:lineRule="auto"/>
        <w:jc w:val="both"/>
        <w:rPr>
          <w:rFonts w:ascii="Times New Roman" w:hAnsi="Times New Roman"/>
          <w:sz w:val="26"/>
          <w:szCs w:val="26"/>
        </w:rPr>
      </w:pPr>
      <w:r w:rsidRPr="0026672A">
        <w:rPr>
          <w:rFonts w:ascii="Times New Roman" w:hAnsi="Times New Roman"/>
          <w:sz w:val="26"/>
          <w:szCs w:val="26"/>
        </w:rPr>
        <w:t>La spectrométrie de Résonance Paramagnétique Electronique(RPE) pour les complexes de cuivre, a mis en évidence la symétrie axiale des complexes et</w:t>
      </w:r>
      <w:r w:rsidRPr="0026672A">
        <w:rPr>
          <w:rFonts w:ascii="Times New Roman" w:hAnsi="Times New Roman"/>
          <w:color w:val="FF0000"/>
          <w:sz w:val="26"/>
          <w:szCs w:val="26"/>
        </w:rPr>
        <w:t xml:space="preserve"> </w:t>
      </w:r>
      <w:r w:rsidRPr="0026672A">
        <w:rPr>
          <w:rFonts w:ascii="Times New Roman" w:hAnsi="Times New Roman"/>
          <w:sz w:val="26"/>
          <w:szCs w:val="26"/>
        </w:rPr>
        <w:t xml:space="preserve"> le caractère covalent de la liaison métal-ligand qui augmente sensiblement en allant de l’histidine au tryptophane. </w:t>
      </w:r>
    </w:p>
    <w:p w:rsidR="0026672A" w:rsidRPr="0026672A" w:rsidRDefault="0026672A" w:rsidP="0026672A">
      <w:pPr>
        <w:autoSpaceDE w:val="0"/>
        <w:autoSpaceDN w:val="0"/>
        <w:adjustRightInd w:val="0"/>
        <w:spacing w:after="0" w:line="240" w:lineRule="auto"/>
        <w:jc w:val="both"/>
        <w:rPr>
          <w:rFonts w:ascii="Times New Roman" w:hAnsi="Times New Roman"/>
          <w:sz w:val="26"/>
          <w:szCs w:val="26"/>
        </w:rPr>
      </w:pPr>
      <w:r w:rsidRPr="0026672A">
        <w:rPr>
          <w:rFonts w:ascii="Times New Roman" w:hAnsi="Times New Roman"/>
          <w:sz w:val="26"/>
          <w:szCs w:val="26"/>
        </w:rPr>
        <w:t xml:space="preserve">L’étude du comportement électrochimique par </w:t>
      </w:r>
      <w:proofErr w:type="spellStart"/>
      <w:r w:rsidRPr="0026672A">
        <w:rPr>
          <w:rFonts w:ascii="Times New Roman" w:hAnsi="Times New Roman"/>
          <w:sz w:val="26"/>
          <w:szCs w:val="26"/>
        </w:rPr>
        <w:t>voltamétrie</w:t>
      </w:r>
      <w:proofErr w:type="spellEnd"/>
      <w:r w:rsidRPr="0026672A">
        <w:rPr>
          <w:rFonts w:ascii="Times New Roman" w:hAnsi="Times New Roman"/>
          <w:sz w:val="26"/>
          <w:szCs w:val="26"/>
        </w:rPr>
        <w:t xml:space="preserve"> cyclique, a révélé que le potentiel de réduction du couple M(II)/M(I) dans les complexes est sensible à l’effet électronique et stérique des ligands secondaires (acides aminés). La réduction du métal est plus difficile en allant de l’histidine au tryptophane. Ce résultat électrochimique est confirmé par l’étude du pouvoir antioxydant des complexes. </w:t>
      </w:r>
    </w:p>
    <w:p w:rsidR="0026672A" w:rsidRPr="0026672A" w:rsidRDefault="0026672A" w:rsidP="0026672A">
      <w:pPr>
        <w:autoSpaceDE w:val="0"/>
        <w:autoSpaceDN w:val="0"/>
        <w:adjustRightInd w:val="0"/>
        <w:spacing w:after="0" w:line="240" w:lineRule="auto"/>
        <w:jc w:val="both"/>
        <w:rPr>
          <w:rFonts w:ascii="Times New Roman" w:hAnsi="Times New Roman"/>
          <w:sz w:val="26"/>
          <w:szCs w:val="26"/>
        </w:rPr>
      </w:pPr>
      <w:r w:rsidRPr="0026672A">
        <w:rPr>
          <w:rFonts w:ascii="Times New Roman" w:hAnsi="Times New Roman"/>
          <w:sz w:val="26"/>
          <w:szCs w:val="26"/>
        </w:rPr>
        <w:t>La dernière partie de ce travail a été consacrée à l’étude biologique de ces complexes.</w:t>
      </w:r>
    </w:p>
    <w:p w:rsidR="0026672A" w:rsidRPr="0026672A" w:rsidRDefault="0026672A" w:rsidP="0026672A">
      <w:pPr>
        <w:autoSpaceDE w:val="0"/>
        <w:autoSpaceDN w:val="0"/>
        <w:adjustRightInd w:val="0"/>
        <w:spacing w:after="0" w:line="240" w:lineRule="auto"/>
        <w:jc w:val="both"/>
        <w:rPr>
          <w:rFonts w:ascii="Times New Roman" w:hAnsi="Times New Roman"/>
          <w:sz w:val="26"/>
          <w:szCs w:val="26"/>
        </w:rPr>
      </w:pPr>
      <w:r w:rsidRPr="0026672A">
        <w:rPr>
          <w:rFonts w:ascii="Times New Roman" w:hAnsi="Times New Roman"/>
          <w:sz w:val="26"/>
          <w:szCs w:val="26"/>
        </w:rPr>
        <w:t xml:space="preserve">En effet l’activité antibactérienne vis-à-vis de germes pathogènes : bactérie et levure, a été évaluée </w:t>
      </w:r>
      <w:r w:rsidRPr="0026672A">
        <w:rPr>
          <w:rFonts w:ascii="Times New Roman" w:hAnsi="Times New Roman"/>
          <w:i/>
          <w:sz w:val="26"/>
          <w:szCs w:val="26"/>
        </w:rPr>
        <w:t xml:space="preserve">in vitro </w:t>
      </w:r>
      <w:r w:rsidRPr="0026672A">
        <w:rPr>
          <w:rFonts w:ascii="Times New Roman" w:hAnsi="Times New Roman"/>
          <w:sz w:val="26"/>
          <w:szCs w:val="26"/>
        </w:rPr>
        <w:t>et comparée à celle d’un antibiotique et antifongique de référence. Il s’est avéré que les complexes sont plus actifs vis-à-vis des bactéries à Gram positif que celles à Gram négatif.</w:t>
      </w:r>
    </w:p>
    <w:p w:rsidR="0026672A" w:rsidRPr="0026672A" w:rsidRDefault="0026672A" w:rsidP="0026672A">
      <w:pPr>
        <w:autoSpaceDE w:val="0"/>
        <w:autoSpaceDN w:val="0"/>
        <w:adjustRightInd w:val="0"/>
        <w:spacing w:after="0" w:line="240" w:lineRule="auto"/>
        <w:jc w:val="both"/>
        <w:rPr>
          <w:rFonts w:ascii="Times New Roman" w:hAnsi="Times New Roman"/>
          <w:sz w:val="26"/>
          <w:szCs w:val="26"/>
        </w:rPr>
      </w:pPr>
      <w:r w:rsidRPr="0026672A">
        <w:rPr>
          <w:rFonts w:ascii="Times New Roman" w:hAnsi="Times New Roman"/>
          <w:sz w:val="26"/>
          <w:szCs w:val="26"/>
        </w:rPr>
        <w:t>L’évaluation du pouvoir antioxydant a été réalisée en utilisant la méthode de réduction de</w:t>
      </w:r>
    </w:p>
    <w:p w:rsidR="00EE7177" w:rsidRDefault="0026672A" w:rsidP="0026672A">
      <w:pPr>
        <w:rPr>
          <w:rFonts w:ascii="Times New Roman" w:hAnsi="Times New Roman"/>
          <w:sz w:val="26"/>
          <w:szCs w:val="26"/>
        </w:rPr>
      </w:pPr>
      <w:r w:rsidRPr="0026672A">
        <w:rPr>
          <w:rFonts w:ascii="Times New Roman" w:hAnsi="Times New Roman"/>
          <w:sz w:val="26"/>
          <w:szCs w:val="26"/>
        </w:rPr>
        <w:t>2, 2-</w:t>
      </w:r>
      <w:proofErr w:type="spellStart"/>
      <w:r w:rsidRPr="0026672A">
        <w:rPr>
          <w:rFonts w:ascii="Times New Roman" w:hAnsi="Times New Roman"/>
          <w:sz w:val="26"/>
          <w:szCs w:val="26"/>
        </w:rPr>
        <w:t>diphenyl</w:t>
      </w:r>
      <w:proofErr w:type="spellEnd"/>
      <w:r w:rsidRPr="0026672A">
        <w:rPr>
          <w:rFonts w:ascii="Times New Roman" w:hAnsi="Times New Roman"/>
          <w:sz w:val="26"/>
          <w:szCs w:val="26"/>
        </w:rPr>
        <w:t>-1-</w:t>
      </w:r>
      <w:proofErr w:type="spellStart"/>
      <w:r w:rsidRPr="0026672A">
        <w:rPr>
          <w:rFonts w:ascii="Times New Roman" w:hAnsi="Times New Roman"/>
          <w:sz w:val="26"/>
          <w:szCs w:val="26"/>
        </w:rPr>
        <w:t>picrylhydrazyl</w:t>
      </w:r>
      <w:proofErr w:type="spellEnd"/>
      <w:r w:rsidRPr="0026672A">
        <w:rPr>
          <w:rFonts w:ascii="Times New Roman" w:hAnsi="Times New Roman"/>
          <w:sz w:val="26"/>
          <w:szCs w:val="26"/>
        </w:rPr>
        <w:t xml:space="preserve"> (DPPH). Les résultats ont montré que les complexes de cobalt ont un pouvoir antioxydant plus élevé comparativement à ceux  du nickel et du cuivre.     </w:t>
      </w:r>
    </w:p>
    <w:p w:rsidR="00FD18B5" w:rsidRPr="00FD18B5" w:rsidRDefault="00FD18B5" w:rsidP="00DA7A3A">
      <w:pPr>
        <w:pStyle w:val="Sansinterligne"/>
        <w:spacing w:line="300" w:lineRule="atLeast"/>
        <w:jc w:val="both"/>
        <w:rPr>
          <w:rFonts w:ascii="Times New Roman" w:hAnsi="Times New Roman"/>
          <w:sz w:val="24"/>
          <w:szCs w:val="24"/>
        </w:rPr>
      </w:pPr>
      <w:r w:rsidRPr="007134D2">
        <w:rPr>
          <w:rFonts w:ascii="Times New Roman" w:hAnsi="Times New Roman"/>
          <w:b/>
          <w:bCs/>
          <w:sz w:val="26"/>
          <w:szCs w:val="26"/>
          <w:u w:val="single"/>
        </w:rPr>
        <w:t>Mots clés</w:t>
      </w:r>
      <w:r>
        <w:rPr>
          <w:rFonts w:ascii="Times New Roman" w:hAnsi="Times New Roman"/>
          <w:sz w:val="26"/>
          <w:szCs w:val="26"/>
        </w:rPr>
        <w:t xml:space="preserve"> : </w:t>
      </w:r>
      <w:r w:rsidRPr="00FD18B5">
        <w:rPr>
          <w:rFonts w:asciiTheme="majorBidi" w:hAnsiTheme="majorBidi" w:cstheme="majorBidi"/>
          <w:sz w:val="24"/>
          <w:szCs w:val="24"/>
        </w:rPr>
        <w:t>complexes</w:t>
      </w:r>
      <w:r w:rsidRPr="00FD18B5">
        <w:rPr>
          <w:rFonts w:ascii="Times New Roman" w:hAnsi="Times New Roman"/>
          <w:sz w:val="24"/>
          <w:szCs w:val="24"/>
        </w:rPr>
        <w:t xml:space="preserve">, </w:t>
      </w:r>
      <w:proofErr w:type="spellStart"/>
      <w:r w:rsidRPr="00FD18B5">
        <w:rPr>
          <w:rFonts w:ascii="Times New Roman" w:hAnsi="Times New Roman"/>
          <w:sz w:val="24"/>
          <w:szCs w:val="24"/>
        </w:rPr>
        <w:t>isonitrosoacetophenone</w:t>
      </w:r>
      <w:proofErr w:type="spellEnd"/>
      <w:r w:rsidRPr="00FD18B5">
        <w:rPr>
          <w:rFonts w:ascii="Times New Roman" w:hAnsi="Times New Roman"/>
          <w:sz w:val="24"/>
          <w:szCs w:val="24"/>
        </w:rPr>
        <w:t xml:space="preserve">, </w:t>
      </w:r>
      <w:r w:rsidRPr="00FD18B5">
        <w:rPr>
          <w:rFonts w:asciiTheme="majorBidi" w:hAnsiTheme="majorBidi" w:cstheme="majorBidi"/>
          <w:sz w:val="24"/>
          <w:szCs w:val="24"/>
        </w:rPr>
        <w:t xml:space="preserve">acides </w:t>
      </w:r>
      <w:r w:rsidRPr="00FD18B5">
        <w:rPr>
          <w:rFonts w:ascii="Times New Roman" w:hAnsi="Times New Roman"/>
          <w:sz w:val="24"/>
          <w:szCs w:val="24"/>
        </w:rPr>
        <w:t>amin</w:t>
      </w:r>
      <w:r w:rsidRPr="00FD18B5">
        <w:rPr>
          <w:rFonts w:asciiTheme="majorBidi" w:hAnsiTheme="majorBidi" w:cstheme="majorBidi"/>
          <w:sz w:val="24"/>
          <w:szCs w:val="24"/>
        </w:rPr>
        <w:t>es</w:t>
      </w:r>
      <w:r w:rsidRPr="00FD18B5">
        <w:rPr>
          <w:rFonts w:ascii="Times New Roman" w:hAnsi="Times New Roman"/>
          <w:sz w:val="24"/>
          <w:szCs w:val="24"/>
        </w:rPr>
        <w:t xml:space="preserve">, </w:t>
      </w:r>
      <w:r w:rsidR="00DA7A3A">
        <w:rPr>
          <w:rFonts w:ascii="Times New Roman" w:hAnsi="Times New Roman"/>
          <w:sz w:val="24"/>
          <w:szCs w:val="24"/>
        </w:rPr>
        <w:t>RPE</w:t>
      </w:r>
      <w:r w:rsidRPr="00FD18B5">
        <w:rPr>
          <w:rFonts w:ascii="Times New Roman" w:hAnsi="Times New Roman"/>
          <w:sz w:val="24"/>
          <w:szCs w:val="24"/>
        </w:rPr>
        <w:t xml:space="preserve">, </w:t>
      </w:r>
      <w:r w:rsidR="00337988">
        <w:rPr>
          <w:rFonts w:asciiTheme="majorBidi" w:hAnsiTheme="majorBidi" w:cstheme="majorBidi"/>
          <w:sz w:val="24"/>
          <w:szCs w:val="24"/>
        </w:rPr>
        <w:t xml:space="preserve"> </w:t>
      </w:r>
      <w:proofErr w:type="spellStart"/>
      <w:r w:rsidR="00337988" w:rsidRPr="00337988">
        <w:rPr>
          <w:rFonts w:asciiTheme="majorBidi" w:hAnsiTheme="majorBidi" w:cstheme="majorBidi"/>
          <w:sz w:val="24"/>
          <w:szCs w:val="24"/>
        </w:rPr>
        <w:t>voltammétrie</w:t>
      </w:r>
      <w:proofErr w:type="spellEnd"/>
      <w:r w:rsidR="00337988">
        <w:rPr>
          <w:rFonts w:asciiTheme="majorBidi" w:hAnsiTheme="majorBidi" w:cstheme="majorBidi"/>
          <w:sz w:val="24"/>
          <w:szCs w:val="24"/>
        </w:rPr>
        <w:t xml:space="preserve"> </w:t>
      </w:r>
      <w:r w:rsidRPr="00FD18B5">
        <w:rPr>
          <w:rFonts w:ascii="Times New Roman" w:hAnsi="Times New Roman"/>
          <w:sz w:val="24"/>
          <w:szCs w:val="24"/>
        </w:rPr>
        <w:t>cycli</w:t>
      </w:r>
      <w:r w:rsidRPr="00FD18B5">
        <w:rPr>
          <w:rFonts w:asciiTheme="majorBidi" w:hAnsiTheme="majorBidi" w:cstheme="majorBidi"/>
          <w:sz w:val="24"/>
          <w:szCs w:val="24"/>
        </w:rPr>
        <w:t>que</w:t>
      </w:r>
      <w:r w:rsidRPr="00FD18B5">
        <w:rPr>
          <w:rFonts w:ascii="Times New Roman" w:hAnsi="Times New Roman"/>
          <w:sz w:val="24"/>
          <w:szCs w:val="24"/>
        </w:rPr>
        <w:t xml:space="preserve">,                 </w:t>
      </w:r>
    </w:p>
    <w:p w:rsidR="00FD18B5" w:rsidRPr="00FD18B5" w:rsidRDefault="00FD18B5" w:rsidP="00337988">
      <w:pPr>
        <w:rPr>
          <w:rFonts w:asciiTheme="majorBidi" w:hAnsiTheme="majorBidi" w:cstheme="majorBidi"/>
          <w:sz w:val="24"/>
          <w:szCs w:val="24"/>
        </w:rPr>
      </w:pPr>
      <w:r w:rsidRPr="00FD18B5">
        <w:rPr>
          <w:rFonts w:ascii="Times New Roman" w:hAnsi="Times New Roman"/>
          <w:sz w:val="24"/>
          <w:szCs w:val="24"/>
        </w:rPr>
        <w:t xml:space="preserve">                 </w:t>
      </w:r>
      <w:r w:rsidRPr="00FD18B5">
        <w:rPr>
          <w:rFonts w:asciiTheme="majorBidi" w:hAnsiTheme="majorBidi" w:cstheme="majorBidi"/>
          <w:sz w:val="24"/>
          <w:szCs w:val="24"/>
        </w:rPr>
        <w:t xml:space="preserve">   </w:t>
      </w:r>
      <w:proofErr w:type="gramStart"/>
      <w:r>
        <w:rPr>
          <w:rFonts w:asciiTheme="majorBidi" w:hAnsiTheme="majorBidi" w:cstheme="majorBidi"/>
          <w:sz w:val="24"/>
          <w:szCs w:val="24"/>
        </w:rPr>
        <w:t>ac</w:t>
      </w:r>
      <w:r w:rsidRPr="00FD18B5">
        <w:rPr>
          <w:rFonts w:asciiTheme="majorBidi" w:hAnsiTheme="majorBidi" w:cstheme="majorBidi"/>
          <w:sz w:val="24"/>
          <w:szCs w:val="24"/>
        </w:rPr>
        <w:t>tivité</w:t>
      </w:r>
      <w:proofErr w:type="gramEnd"/>
      <w:r w:rsidRPr="00FD18B5">
        <w:rPr>
          <w:rFonts w:asciiTheme="majorBidi" w:hAnsiTheme="majorBidi" w:cstheme="majorBidi"/>
          <w:sz w:val="24"/>
          <w:szCs w:val="24"/>
        </w:rPr>
        <w:t xml:space="preserve"> </w:t>
      </w:r>
      <w:r w:rsidRPr="00FD18B5">
        <w:rPr>
          <w:rFonts w:ascii="Times New Roman" w:hAnsi="Times New Roman"/>
          <w:sz w:val="24"/>
          <w:szCs w:val="24"/>
        </w:rPr>
        <w:t>biologi</w:t>
      </w:r>
      <w:r w:rsidRPr="00FD18B5">
        <w:rPr>
          <w:rFonts w:asciiTheme="majorBidi" w:hAnsiTheme="majorBidi" w:cstheme="majorBidi"/>
          <w:sz w:val="24"/>
          <w:szCs w:val="24"/>
        </w:rPr>
        <w:t>que,  D</w:t>
      </w:r>
      <w:r w:rsidRPr="00FD18B5">
        <w:rPr>
          <w:rFonts w:ascii="Times New Roman" w:hAnsi="Times New Roman"/>
          <w:sz w:val="24"/>
          <w:szCs w:val="24"/>
        </w:rPr>
        <w:t>FT.</w:t>
      </w:r>
      <w:r w:rsidRPr="00FD18B5">
        <w:rPr>
          <w:rFonts w:asciiTheme="majorBidi" w:hAnsiTheme="majorBidi" w:cstheme="majorBidi"/>
          <w:sz w:val="24"/>
          <w:szCs w:val="24"/>
        </w:rPr>
        <w:t xml:space="preserve"> </w:t>
      </w:r>
    </w:p>
    <w:p w:rsidR="0026672A" w:rsidRDefault="0026672A" w:rsidP="0026672A"/>
    <w:sectPr w:rsidR="0026672A" w:rsidSect="002A095A">
      <w:pgSz w:w="11906" w:h="16838"/>
      <w:pgMar w:top="851" w:right="1417" w:bottom="1417" w:left="1417" w:header="708" w:footer="708" w:gutter="0"/>
      <w:pgBorders w:offsetFrom="page">
        <w:top w:val="thinThickLargeGap" w:sz="24" w:space="24" w:color="1F497D" w:themeColor="text2"/>
        <w:left w:val="thinThickLargeGap" w:sz="24" w:space="24" w:color="1F497D" w:themeColor="text2"/>
        <w:bottom w:val="thickThinLargeGap" w:sz="24" w:space="24" w:color="1F497D" w:themeColor="text2"/>
        <w:right w:val="thickThinLargeGap" w:sz="24" w:space="24" w:color="1F497D" w:themeColor="text2"/>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compat/>
  <w:rsids>
    <w:rsidRoot w:val="0026672A"/>
    <w:rsid w:val="0026672A"/>
    <w:rsid w:val="002A095A"/>
    <w:rsid w:val="00337988"/>
    <w:rsid w:val="005E26E5"/>
    <w:rsid w:val="00646C82"/>
    <w:rsid w:val="007134D2"/>
    <w:rsid w:val="009858FB"/>
    <w:rsid w:val="00BE094B"/>
    <w:rsid w:val="00CE4DE5"/>
    <w:rsid w:val="00D452BF"/>
    <w:rsid w:val="00DA7A3A"/>
    <w:rsid w:val="00EE7177"/>
    <w:rsid w:val="00FD18B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672A"/>
    <w:rPr>
      <w:rFonts w:ascii="Calibri" w:eastAsia="Calibri" w:hAnsi="Calibri"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26672A"/>
    <w:pPr>
      <w:spacing w:after="0" w:line="240" w:lineRule="auto"/>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464</Words>
  <Characters>2558</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2</cp:revision>
  <dcterms:created xsi:type="dcterms:W3CDTF">2015-01-26T10:52:00Z</dcterms:created>
  <dcterms:modified xsi:type="dcterms:W3CDTF">2015-01-26T10:52:00Z</dcterms:modified>
</cp:coreProperties>
</file>