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0EEE" w:rsidRPr="004D7DD1" w:rsidRDefault="00550EEE" w:rsidP="004D7DD1">
      <w:pPr>
        <w:autoSpaceDE w:val="0"/>
        <w:autoSpaceDN w:val="0"/>
        <w:bidi/>
        <w:adjustRightInd w:val="0"/>
        <w:spacing w:after="0" w:line="240" w:lineRule="auto"/>
        <w:ind w:left="425" w:right="567"/>
        <w:jc w:val="both"/>
        <w:rPr>
          <w:rFonts w:ascii="SFRM1095" w:hAnsi="SFRM1095" w:cs="SFRM1095"/>
          <w:b/>
          <w:bCs/>
          <w:sz w:val="24"/>
          <w:szCs w:val="24"/>
        </w:rPr>
      </w:pPr>
      <w:r w:rsidRPr="004D7DD1">
        <w:rPr>
          <w:rFonts w:ascii="SFRM1095" w:hAnsi="SFRM1095" w:cs="Times New Roman" w:hint="cs"/>
          <w:b/>
          <w:bCs/>
          <w:sz w:val="24"/>
          <w:szCs w:val="24"/>
          <w:rtl/>
        </w:rPr>
        <w:t>ملخص</w:t>
      </w:r>
    </w:p>
    <w:p w:rsidR="00550EEE" w:rsidRPr="004D7DD1" w:rsidRDefault="00550EEE" w:rsidP="004D7DD1">
      <w:pPr>
        <w:autoSpaceDE w:val="0"/>
        <w:autoSpaceDN w:val="0"/>
        <w:bidi/>
        <w:adjustRightInd w:val="0"/>
        <w:spacing w:after="0" w:line="240" w:lineRule="auto"/>
        <w:ind w:left="425" w:right="567"/>
        <w:jc w:val="both"/>
        <w:rPr>
          <w:rFonts w:ascii="SFRM1095" w:hAnsi="SFRM1095" w:cs="SFRM1095"/>
          <w:sz w:val="18"/>
          <w:szCs w:val="18"/>
        </w:rPr>
      </w:pPr>
    </w:p>
    <w:p w:rsidR="00550EEE" w:rsidRPr="004D7DD1" w:rsidRDefault="00550EEE" w:rsidP="004D7DD1">
      <w:pPr>
        <w:autoSpaceDE w:val="0"/>
        <w:autoSpaceDN w:val="0"/>
        <w:bidi/>
        <w:adjustRightInd w:val="0"/>
        <w:spacing w:after="0" w:line="240" w:lineRule="auto"/>
        <w:ind w:left="425" w:right="567"/>
        <w:jc w:val="both"/>
        <w:rPr>
          <w:rFonts w:ascii="SFRM1095" w:hAnsi="SFRM1095" w:cs="SFRM1095"/>
          <w:sz w:val="24"/>
          <w:szCs w:val="24"/>
        </w:rPr>
      </w:pPr>
      <w:r w:rsidRPr="004D7DD1">
        <w:rPr>
          <w:rFonts w:ascii="SFRM1095" w:hAnsi="SFRM1095" w:cs="Times New Roman" w:hint="cs"/>
          <w:sz w:val="24"/>
          <w:szCs w:val="24"/>
          <w:rtl/>
        </w:rPr>
        <w:t xml:space="preserve">تأثير عدم الانتظام الحراري وفق المنحى العرضي على تحويل الطاقة هي أحد الجوانب المتطرق لها في مجال </w:t>
      </w:r>
      <w:proofErr w:type="spellStart"/>
      <w:r w:rsidRPr="004D7DD1">
        <w:rPr>
          <w:rFonts w:ascii="SFRM1095" w:hAnsi="SFRM1095" w:cs="Times New Roman" w:hint="cs"/>
          <w:sz w:val="24"/>
          <w:szCs w:val="24"/>
          <w:rtl/>
        </w:rPr>
        <w:t>الترموصوتية</w:t>
      </w:r>
      <w:proofErr w:type="spellEnd"/>
      <w:r w:rsidRPr="004D7DD1">
        <w:rPr>
          <w:rFonts w:ascii="SFRM1095" w:hAnsi="SFRM1095" w:cs="SFRM1095" w:hint="cs"/>
          <w:sz w:val="24"/>
          <w:szCs w:val="24"/>
          <w:rtl/>
        </w:rPr>
        <w:t xml:space="preserve">. </w:t>
      </w:r>
      <w:r w:rsidRPr="004D7DD1">
        <w:rPr>
          <w:rFonts w:ascii="SFRM1095" w:hAnsi="SFRM1095" w:cs="Times New Roman" w:hint="cs"/>
          <w:sz w:val="24"/>
          <w:szCs w:val="24"/>
          <w:rtl/>
        </w:rPr>
        <w:t xml:space="preserve">لوحظ تجريبيا عدم الانتظام هذا في الأجهزة </w:t>
      </w:r>
      <w:proofErr w:type="spellStart"/>
      <w:r w:rsidRPr="004D7DD1">
        <w:rPr>
          <w:rFonts w:ascii="SFRM1095" w:hAnsi="SFRM1095" w:cs="Times New Roman" w:hint="cs"/>
          <w:sz w:val="24"/>
          <w:szCs w:val="24"/>
          <w:rtl/>
        </w:rPr>
        <w:t>الترموصوتية</w:t>
      </w:r>
      <w:proofErr w:type="spellEnd"/>
      <w:r w:rsidRPr="004D7DD1">
        <w:rPr>
          <w:rFonts w:ascii="SFRM1095" w:hAnsi="SFRM1095" w:cs="Times New Roman" w:hint="cs"/>
          <w:sz w:val="24"/>
          <w:szCs w:val="24"/>
          <w:rtl/>
        </w:rPr>
        <w:t xml:space="preserve"> ولا </w:t>
      </w:r>
      <w:proofErr w:type="spellStart"/>
      <w:r w:rsidRPr="004D7DD1">
        <w:rPr>
          <w:rFonts w:ascii="SFRM1095" w:hAnsi="SFRM1095" w:cs="Times New Roman" w:hint="cs"/>
          <w:sz w:val="24"/>
          <w:szCs w:val="24"/>
          <w:rtl/>
        </w:rPr>
        <w:t>سيما</w:t>
      </w:r>
      <w:proofErr w:type="spellEnd"/>
      <w:r w:rsidRPr="004D7DD1">
        <w:rPr>
          <w:rFonts w:ascii="SFRM1095" w:hAnsi="SFRM1095" w:cs="Times New Roman" w:hint="cs"/>
          <w:sz w:val="24"/>
          <w:szCs w:val="24"/>
          <w:rtl/>
        </w:rPr>
        <w:t xml:space="preserve"> البدل الحراري والمكدس</w:t>
      </w:r>
      <w:r w:rsidRPr="004D7DD1">
        <w:rPr>
          <w:rFonts w:ascii="SFRM1095" w:hAnsi="SFRM1095" w:cs="SFRM1095" w:hint="cs"/>
          <w:sz w:val="24"/>
          <w:szCs w:val="24"/>
          <w:rtl/>
        </w:rPr>
        <w:t xml:space="preserve">. </w:t>
      </w:r>
      <w:r w:rsidRPr="004D7DD1">
        <w:rPr>
          <w:rFonts w:ascii="SFRM1095" w:hAnsi="SFRM1095" w:cs="Times New Roman" w:hint="cs"/>
          <w:sz w:val="24"/>
          <w:szCs w:val="24"/>
          <w:rtl/>
        </w:rPr>
        <w:t>في هذا العمل، تم دراسة الانتشار الصوتي في السوائل المحصورة بين لوحين مستويين مع مراعاة التدرج العرضية لدرجة الحرارة</w:t>
      </w:r>
      <w:r w:rsidRPr="004D7DD1">
        <w:rPr>
          <w:rFonts w:ascii="SFRM1095" w:hAnsi="SFRM1095" w:cs="SFRM1095" w:hint="cs"/>
          <w:sz w:val="24"/>
          <w:szCs w:val="24"/>
          <w:rtl/>
        </w:rPr>
        <w:t xml:space="preserve">. </w:t>
      </w:r>
      <w:r w:rsidRPr="004D7DD1">
        <w:rPr>
          <w:rFonts w:ascii="SFRM1095" w:hAnsi="SFRM1095" w:cs="Times New Roman" w:hint="cs"/>
          <w:sz w:val="24"/>
          <w:szCs w:val="24"/>
          <w:rtl/>
        </w:rPr>
        <w:t>على إثرها طور نموذج مقارب لقياس تأثير هذا التدرج العرضي على المتغيرات الصوتية المختلفة</w:t>
      </w:r>
      <w:r w:rsidRPr="004D7DD1">
        <w:rPr>
          <w:rFonts w:ascii="SFRM1095" w:hAnsi="SFRM1095" w:cs="SFRM1095" w:hint="cs"/>
          <w:sz w:val="24"/>
          <w:szCs w:val="24"/>
          <w:rtl/>
        </w:rPr>
        <w:t xml:space="preserve">. </w:t>
      </w:r>
      <w:r w:rsidRPr="004D7DD1">
        <w:rPr>
          <w:rFonts w:ascii="SFRM1095" w:hAnsi="SFRM1095" w:cs="Times New Roman" w:hint="cs"/>
          <w:sz w:val="24"/>
          <w:szCs w:val="24"/>
          <w:rtl/>
        </w:rPr>
        <w:t>النهج المتبع هو امتداد للنظرية الخطية القياسية التي تنطبق فقط في حالة التدرج العرضي المنعدم لدرجة الحرارة</w:t>
      </w:r>
      <w:r w:rsidRPr="004D7DD1">
        <w:rPr>
          <w:rFonts w:ascii="SFRM1095" w:hAnsi="SFRM1095" w:cs="SFRM1095" w:hint="cs"/>
          <w:sz w:val="24"/>
          <w:szCs w:val="24"/>
          <w:rtl/>
        </w:rPr>
        <w:t>.</w:t>
      </w:r>
      <w:r w:rsidRPr="004D7DD1">
        <w:rPr>
          <w:rFonts w:ascii="SFRM1095" w:hAnsi="SFRM1095" w:cs="Times New Roman" w:hint="cs"/>
          <w:sz w:val="24"/>
          <w:szCs w:val="24"/>
          <w:rtl/>
        </w:rPr>
        <w:t>وهو</w:t>
      </w:r>
      <w:proofErr w:type="spellStart"/>
      <w:r w:rsidRPr="004D7DD1">
        <w:rPr>
          <w:rFonts w:ascii="SFRM1095" w:hAnsi="SFRM1095" w:cs="Times New Roman" w:hint="cs"/>
          <w:sz w:val="24"/>
          <w:szCs w:val="24"/>
          <w:rtl/>
          <w:lang w:bidi="ar-DZ"/>
        </w:rPr>
        <w:t>ي</w:t>
      </w:r>
      <w:r w:rsidR="00892255" w:rsidRPr="004D7DD1">
        <w:rPr>
          <w:rFonts w:ascii="SFRM1095" w:hAnsi="SFRM1095" w:cs="Times New Roman" w:hint="cs"/>
          <w:sz w:val="24"/>
          <w:szCs w:val="24"/>
          <w:rtl/>
          <w:lang w:bidi="ar-DZ"/>
        </w:rPr>
        <w:t>تميزبسهولةالحسابم</w:t>
      </w:r>
      <w:r w:rsidRPr="004D7DD1">
        <w:rPr>
          <w:rFonts w:ascii="SFRM1095" w:hAnsi="SFRM1095" w:cs="Times New Roman" w:hint="cs"/>
          <w:sz w:val="24"/>
          <w:szCs w:val="24"/>
          <w:rtl/>
        </w:rPr>
        <w:t>قارنةمعطرق</w:t>
      </w:r>
      <w:proofErr w:type="spellEnd"/>
      <w:r w:rsidRPr="004D7DD1">
        <w:rPr>
          <w:rFonts w:ascii="SFRM1095" w:hAnsi="SFRM1095" w:hint="cs"/>
          <w:sz w:val="24"/>
          <w:szCs w:val="24"/>
          <w:rtl/>
          <w:lang w:bidi="ar-DZ"/>
        </w:rPr>
        <w:t>دين</w:t>
      </w:r>
      <w:r w:rsidR="00892255" w:rsidRPr="004D7DD1">
        <w:rPr>
          <w:rFonts w:ascii="SFRM1095" w:hAnsi="SFRM1095" w:hint="cs"/>
          <w:sz w:val="24"/>
          <w:szCs w:val="24"/>
          <w:rtl/>
          <w:lang w:bidi="ar-DZ"/>
        </w:rPr>
        <w:t>ا</w:t>
      </w:r>
      <w:r w:rsidRPr="004D7DD1">
        <w:rPr>
          <w:rFonts w:ascii="SFRM1095" w:hAnsi="SFRM1095" w:hint="cs"/>
          <w:sz w:val="24"/>
          <w:szCs w:val="24"/>
          <w:rtl/>
          <w:lang w:bidi="ar-DZ"/>
        </w:rPr>
        <w:t xml:space="preserve">ميكا </w:t>
      </w:r>
      <w:proofErr w:type="spellStart"/>
      <w:r w:rsidR="00892255" w:rsidRPr="004D7DD1">
        <w:rPr>
          <w:rFonts w:ascii="SFRM1095" w:hAnsi="SFRM1095" w:hint="cs"/>
          <w:sz w:val="24"/>
          <w:szCs w:val="24"/>
          <w:rtl/>
          <w:lang w:bidi="ar-DZ"/>
        </w:rPr>
        <w:t>ا</w:t>
      </w:r>
      <w:r w:rsidRPr="004D7DD1">
        <w:rPr>
          <w:rFonts w:ascii="SFRM1095" w:hAnsi="SFRM1095" w:hint="cs"/>
          <w:sz w:val="24"/>
          <w:szCs w:val="24"/>
          <w:rtl/>
          <w:lang w:bidi="ar-DZ"/>
        </w:rPr>
        <w:t>لم</w:t>
      </w:r>
      <w:r w:rsidR="00892255" w:rsidRPr="004D7DD1">
        <w:rPr>
          <w:rFonts w:ascii="SFRM1095" w:hAnsi="SFRM1095" w:hint="cs"/>
          <w:sz w:val="24"/>
          <w:szCs w:val="24"/>
          <w:rtl/>
          <w:lang w:bidi="ar-DZ"/>
        </w:rPr>
        <w:t>و</w:t>
      </w:r>
      <w:r w:rsidRPr="004D7DD1">
        <w:rPr>
          <w:rFonts w:ascii="SFRM1095" w:hAnsi="SFRM1095" w:hint="cs"/>
          <w:sz w:val="24"/>
          <w:szCs w:val="24"/>
          <w:rtl/>
          <w:lang w:bidi="ar-DZ"/>
        </w:rPr>
        <w:t>ائع</w:t>
      </w:r>
      <w:proofErr w:type="spellEnd"/>
      <w:r w:rsidRPr="004D7DD1">
        <w:rPr>
          <w:rFonts w:ascii="SFRM1095" w:hAnsi="SFRM1095" w:hint="cs"/>
          <w:sz w:val="24"/>
          <w:szCs w:val="24"/>
          <w:rtl/>
          <w:lang w:bidi="ar-DZ"/>
        </w:rPr>
        <w:t xml:space="preserve"> الحاسوبية </w:t>
      </w:r>
      <w:r w:rsidR="00892255" w:rsidRPr="004D7DD1">
        <w:rPr>
          <w:rFonts w:ascii="SFRM1095" w:hAnsi="SFRM1095" w:cs="Times New Roman" w:hint="cs"/>
          <w:sz w:val="24"/>
          <w:szCs w:val="24"/>
          <w:rtl/>
        </w:rPr>
        <w:t>الم</w:t>
      </w:r>
      <w:r w:rsidRPr="004D7DD1">
        <w:rPr>
          <w:rFonts w:ascii="SFRM1095" w:hAnsi="SFRM1095" w:cs="Times New Roman" w:hint="cs"/>
          <w:sz w:val="24"/>
          <w:szCs w:val="24"/>
          <w:rtl/>
        </w:rPr>
        <w:t>ستخدم</w:t>
      </w:r>
      <w:r w:rsidR="00892255" w:rsidRPr="004D7DD1">
        <w:rPr>
          <w:rFonts w:ascii="SFRM1095" w:hAnsi="SFRM1095" w:cs="Times New Roman" w:hint="cs"/>
          <w:sz w:val="24"/>
          <w:szCs w:val="24"/>
          <w:rtl/>
        </w:rPr>
        <w:t xml:space="preserve">ة. على </w:t>
      </w:r>
      <w:bookmarkStart w:id="0" w:name="_GoBack"/>
      <w:bookmarkEnd w:id="0"/>
      <w:r w:rsidR="00697F6C" w:rsidRPr="004D7DD1">
        <w:rPr>
          <w:rFonts w:ascii="SFRM1095" w:hAnsi="SFRM1095" w:cs="Times New Roman" w:hint="cs"/>
          <w:sz w:val="24"/>
          <w:szCs w:val="24"/>
          <w:rtl/>
        </w:rPr>
        <w:t>عكسال</w:t>
      </w:r>
      <w:r w:rsidR="00697F6C" w:rsidRPr="004D7DD1">
        <w:rPr>
          <w:rFonts w:ascii="SFRM1095" w:hAnsi="SFRM1095" w:cs="Times New Roman" w:hint="cs"/>
          <w:sz w:val="24"/>
          <w:szCs w:val="24"/>
          <w:rtl/>
          <w:lang w:bidi="ar-DZ"/>
        </w:rPr>
        <w:t>ا</w:t>
      </w:r>
      <w:r w:rsidR="00697F6C" w:rsidRPr="004D7DD1">
        <w:rPr>
          <w:rFonts w:ascii="SFRM1095" w:hAnsi="SFRM1095" w:cs="Times New Roman" w:hint="cs"/>
          <w:sz w:val="24"/>
          <w:szCs w:val="24"/>
          <w:rtl/>
        </w:rPr>
        <w:t>عمال</w:t>
      </w:r>
      <w:r w:rsidR="00697F6C" w:rsidRPr="004D7DD1">
        <w:rPr>
          <w:rFonts w:ascii="SFRM1095" w:hAnsi="SFRM1095" w:cs="Times New Roman" w:hint="cs"/>
          <w:sz w:val="24"/>
          <w:szCs w:val="24"/>
          <w:rtl/>
          <w:lang w:bidi="ar-DZ"/>
        </w:rPr>
        <w:t>الموجودة</w:t>
      </w:r>
      <w:r w:rsidR="00697F6C" w:rsidRPr="004D7DD1">
        <w:rPr>
          <w:rFonts w:ascii="SFRM1095" w:hAnsi="SFRM1095" w:cs="Times New Roman" w:hint="cs"/>
          <w:sz w:val="24"/>
          <w:szCs w:val="24"/>
          <w:rtl/>
        </w:rPr>
        <w:t xml:space="preserve"> فيالمراجع، النموذجالمقترحلايعتمد</w:t>
      </w:r>
      <w:r w:rsidR="00697F6C" w:rsidRPr="004D7DD1">
        <w:rPr>
          <w:rFonts w:ascii="SFRM1095" w:hAnsi="SFRM1095" w:cs="Times New Roman" w:hint="cs"/>
          <w:sz w:val="24"/>
          <w:szCs w:val="24"/>
          <w:rtl/>
          <w:lang w:bidi="ar-DZ"/>
        </w:rPr>
        <w:t>على</w:t>
      </w:r>
      <w:r w:rsidR="00697F6C" w:rsidRPr="004D7DD1">
        <w:rPr>
          <w:rFonts w:ascii="SFRM1095" w:hAnsi="SFRM1095" w:cs="Times New Roman" w:hint="cs"/>
          <w:sz w:val="24"/>
          <w:szCs w:val="24"/>
          <w:rtl/>
        </w:rPr>
        <w:t xml:space="preserve"> فرضياتحولحقلدرجةالحرارةعرضي</w:t>
      </w:r>
      <w:r w:rsidR="00697F6C" w:rsidRPr="004D7DD1">
        <w:rPr>
          <w:rFonts w:ascii="SFRM1095" w:hAnsi="SFRM1095" w:cs="Times New Roman"/>
          <w:sz w:val="24"/>
          <w:szCs w:val="24"/>
          <w:rtl/>
        </w:rPr>
        <w:t>.</w:t>
      </w:r>
    </w:p>
    <w:p w:rsidR="00550EEE" w:rsidRPr="004D7DD1" w:rsidRDefault="00550EEE" w:rsidP="004D7DD1">
      <w:pPr>
        <w:autoSpaceDE w:val="0"/>
        <w:autoSpaceDN w:val="0"/>
        <w:bidi/>
        <w:adjustRightInd w:val="0"/>
        <w:spacing w:after="0" w:line="240" w:lineRule="auto"/>
        <w:ind w:left="425" w:right="567"/>
        <w:jc w:val="both"/>
        <w:rPr>
          <w:rFonts w:ascii="SFRM1095" w:hAnsi="SFRM1095" w:cs="SFRM1095"/>
          <w:sz w:val="24"/>
          <w:szCs w:val="24"/>
          <w:rtl/>
        </w:rPr>
      </w:pPr>
      <w:r w:rsidRPr="004D7DD1">
        <w:rPr>
          <w:rFonts w:ascii="SFRM1095" w:hAnsi="SFRM1095" w:cs="Times New Roman" w:hint="cs"/>
          <w:sz w:val="24"/>
          <w:szCs w:val="24"/>
          <w:rtl/>
        </w:rPr>
        <w:t xml:space="preserve">في هذا السياق، </w:t>
      </w:r>
      <w:r w:rsidR="00697F6C" w:rsidRPr="004D7DD1">
        <w:rPr>
          <w:rFonts w:ascii="SFRM1095" w:hAnsi="SFRM1095" w:cs="Times New Roman" w:hint="cs"/>
          <w:sz w:val="24"/>
          <w:szCs w:val="24"/>
          <w:rtl/>
        </w:rPr>
        <w:t>ال</w:t>
      </w:r>
      <w:r w:rsidRPr="004D7DD1">
        <w:rPr>
          <w:rFonts w:ascii="SFRM1095" w:hAnsi="SFRM1095" w:cs="Times New Roman" w:hint="cs"/>
          <w:sz w:val="24"/>
          <w:szCs w:val="24"/>
          <w:rtl/>
        </w:rPr>
        <w:t xml:space="preserve">عبارة تحليلية للتدرج الحرج في درجة الحرارة المستنبطة في هذا العمل، تظهر العواقب المحتملة من التدرج العرضي في درجة الحرارة على تشغيل الآلات </w:t>
      </w:r>
      <w:proofErr w:type="spellStart"/>
      <w:r w:rsidRPr="004D7DD1">
        <w:rPr>
          <w:rFonts w:ascii="SFRM1095" w:hAnsi="SFRM1095" w:cs="Times New Roman" w:hint="cs"/>
          <w:sz w:val="24"/>
          <w:szCs w:val="24"/>
          <w:rtl/>
        </w:rPr>
        <w:t>الترموصوتية</w:t>
      </w:r>
      <w:proofErr w:type="spellEnd"/>
      <w:r w:rsidRPr="004D7DD1">
        <w:rPr>
          <w:rFonts w:ascii="SFRM1095" w:hAnsi="SFRM1095" w:cs="SFRM1095" w:hint="cs"/>
          <w:sz w:val="24"/>
          <w:szCs w:val="24"/>
          <w:rtl/>
        </w:rPr>
        <w:t xml:space="preserve">. </w:t>
      </w:r>
      <w:r w:rsidRPr="004D7DD1">
        <w:rPr>
          <w:rFonts w:ascii="SFRM1095" w:hAnsi="SFRM1095" w:cs="Times New Roman" w:hint="cs"/>
          <w:sz w:val="24"/>
          <w:szCs w:val="24"/>
          <w:rtl/>
        </w:rPr>
        <w:t>بالإضافة إلى ذلك، مكن تحليل النتائج المحصلة عليها من تقدير الحمل الحراري العرضي، الناجم عن عدم الانتظام الحراري وفق المنحى العرضي، على تطور الكميات الصوتية ونقل الطاقة بشكل عام</w:t>
      </w:r>
      <w:r w:rsidRPr="004D7DD1">
        <w:rPr>
          <w:rFonts w:ascii="SFRM1095" w:hAnsi="SFRM1095" w:cs="SFRM1095" w:hint="cs"/>
          <w:sz w:val="24"/>
          <w:szCs w:val="24"/>
          <w:rtl/>
        </w:rPr>
        <w:t>.</w:t>
      </w:r>
    </w:p>
    <w:p w:rsidR="00550EEE" w:rsidRPr="004D7DD1" w:rsidRDefault="00550EEE" w:rsidP="004D7DD1">
      <w:pPr>
        <w:autoSpaceDE w:val="0"/>
        <w:autoSpaceDN w:val="0"/>
        <w:bidi/>
        <w:adjustRightInd w:val="0"/>
        <w:spacing w:after="0" w:line="240" w:lineRule="auto"/>
        <w:ind w:left="425" w:right="567"/>
        <w:jc w:val="both"/>
        <w:rPr>
          <w:rFonts w:ascii="SFRM1095" w:hAnsi="SFRM1095" w:cs="SFRM1095"/>
          <w:sz w:val="18"/>
          <w:szCs w:val="18"/>
          <w:rtl/>
        </w:rPr>
      </w:pPr>
    </w:p>
    <w:p w:rsidR="0030336B" w:rsidRDefault="0030336B" w:rsidP="004D7DD1">
      <w:pPr>
        <w:autoSpaceDE w:val="0"/>
        <w:autoSpaceDN w:val="0"/>
        <w:adjustRightInd w:val="0"/>
        <w:spacing w:after="0" w:line="240" w:lineRule="auto"/>
        <w:ind w:left="425" w:right="425"/>
        <w:rPr>
          <w:rFonts w:ascii="SFBX1200" w:hAnsi="SFBX1200" w:cs="SFBX1200"/>
          <w:b/>
          <w:bCs/>
          <w:sz w:val="24"/>
          <w:szCs w:val="24"/>
        </w:rPr>
      </w:pPr>
    </w:p>
    <w:p w:rsidR="006A6255" w:rsidRDefault="006A6255" w:rsidP="004D7DD1">
      <w:pPr>
        <w:autoSpaceDE w:val="0"/>
        <w:autoSpaceDN w:val="0"/>
        <w:adjustRightInd w:val="0"/>
        <w:spacing w:after="0" w:line="240" w:lineRule="auto"/>
        <w:ind w:left="425" w:right="425"/>
        <w:rPr>
          <w:rFonts w:ascii="SFBX1200" w:hAnsi="SFBX1200" w:cs="SFBX1200"/>
          <w:b/>
          <w:bCs/>
          <w:sz w:val="24"/>
          <w:szCs w:val="24"/>
        </w:rPr>
      </w:pPr>
      <w:r w:rsidRPr="006A6255">
        <w:rPr>
          <w:rFonts w:ascii="SFBX1200" w:hAnsi="SFBX1200" w:cs="SFBX1200"/>
          <w:b/>
          <w:bCs/>
          <w:sz w:val="24"/>
          <w:szCs w:val="24"/>
        </w:rPr>
        <w:t>Résumé</w:t>
      </w:r>
    </w:p>
    <w:p w:rsidR="006A6255" w:rsidRPr="006A6255" w:rsidRDefault="006A6255" w:rsidP="004D7DD1">
      <w:pPr>
        <w:autoSpaceDE w:val="0"/>
        <w:autoSpaceDN w:val="0"/>
        <w:adjustRightInd w:val="0"/>
        <w:spacing w:after="0" w:line="240" w:lineRule="auto"/>
        <w:ind w:left="425" w:right="567"/>
        <w:rPr>
          <w:rFonts w:ascii="SFBX1200" w:hAnsi="SFBX1200" w:cs="SFBX1200"/>
          <w:b/>
          <w:bCs/>
          <w:sz w:val="16"/>
          <w:szCs w:val="16"/>
        </w:rPr>
      </w:pPr>
    </w:p>
    <w:p w:rsidR="006A6255" w:rsidRDefault="006A6255" w:rsidP="004D7DD1">
      <w:pPr>
        <w:autoSpaceDE w:val="0"/>
        <w:autoSpaceDN w:val="0"/>
        <w:adjustRightInd w:val="0"/>
        <w:spacing w:after="0" w:line="240" w:lineRule="auto"/>
        <w:ind w:left="425" w:right="567"/>
        <w:jc w:val="both"/>
        <w:rPr>
          <w:rFonts w:ascii="SFRM1095" w:hAnsi="SFRM1095" w:cs="SFRM1095"/>
        </w:rPr>
      </w:pPr>
      <w:r>
        <w:rPr>
          <w:rFonts w:ascii="SFRM1095" w:hAnsi="SFRM1095" w:cs="SFRM1095"/>
        </w:rPr>
        <w:t>L’effet de la non uniformité thermique dans le sens transversal sur la conversion d’énergie est l’un des aspects traités dans la thermoacoustique. Cette non uniformité est constatée expérimentalement dans les dispositifs thermoacoustiques en particulier l’échangeur de chaleur et le stack. Dans ce travail, la propagation acoustique dans un fluide confiné entre deux plaques planes est étudiée avec prise en compte du gradient transverse de température. A cet effet, un modèle asymptotique est développé afin de quantifier l’effet de ce gradient transverse sur les différentes variables acoustiques. L’approche suivie est une extension de la théorie linéaire standard qui ne s’applique que dans le cas d’un gradient transverse nul de température. Elle se distingue par rapport aux méthodes CFD utilisées par la simplicité du calcul. A l’opposé des travaux existants dans la littérature, le modèle proposé n’adopte pas d’hypothèses sur le champ de température transversal.</w:t>
      </w:r>
    </w:p>
    <w:p w:rsidR="006A6255" w:rsidRDefault="006A6255" w:rsidP="004D7DD1">
      <w:pPr>
        <w:autoSpaceDE w:val="0"/>
        <w:autoSpaceDN w:val="0"/>
        <w:adjustRightInd w:val="0"/>
        <w:spacing w:after="0" w:line="240" w:lineRule="auto"/>
        <w:ind w:left="425" w:right="567"/>
        <w:jc w:val="both"/>
        <w:rPr>
          <w:rFonts w:ascii="SFRM1095" w:hAnsi="SFRM1095" w:cs="SFRM1095"/>
        </w:rPr>
      </w:pPr>
      <w:r>
        <w:rPr>
          <w:rFonts w:ascii="SFRM1095" w:hAnsi="SFRM1095" w:cs="SFRM1095"/>
        </w:rPr>
        <w:t>Dans ce cadre, une expression analytique du gradient critique de température proposée dans ce travail, montre les conséquences éventuelles du gradient transverse de température sur le fonctionnement des machines thermoacoustiques. De plus, l’analyse des résultats obtenus a permis d’avoir une appréciation de la convection transversale, engendrée par la non uniformité thermique selon le sens transversal, sur l’évolution des grandeurs acoustiques et le transport énergétique en général.</w:t>
      </w:r>
    </w:p>
    <w:p w:rsidR="006A6255" w:rsidRPr="006A6255" w:rsidRDefault="006A6255" w:rsidP="004D7DD1">
      <w:pPr>
        <w:autoSpaceDE w:val="0"/>
        <w:autoSpaceDN w:val="0"/>
        <w:adjustRightInd w:val="0"/>
        <w:spacing w:after="0" w:line="240" w:lineRule="auto"/>
        <w:ind w:left="425" w:right="567"/>
        <w:rPr>
          <w:rFonts w:ascii="SFRM1095" w:hAnsi="SFRM1095" w:cs="SFRM1095"/>
          <w:b/>
          <w:bCs/>
          <w:sz w:val="16"/>
          <w:szCs w:val="16"/>
        </w:rPr>
      </w:pPr>
    </w:p>
    <w:p w:rsidR="006A6255" w:rsidRDefault="006A6255" w:rsidP="004D7DD1">
      <w:pPr>
        <w:autoSpaceDE w:val="0"/>
        <w:autoSpaceDN w:val="0"/>
        <w:adjustRightInd w:val="0"/>
        <w:spacing w:after="0" w:line="240" w:lineRule="auto"/>
        <w:ind w:left="425" w:right="567"/>
        <w:rPr>
          <w:rFonts w:ascii="SFBX1200" w:hAnsi="SFBX1200" w:cs="SFBX1200"/>
          <w:sz w:val="24"/>
          <w:szCs w:val="24"/>
        </w:rPr>
      </w:pPr>
    </w:p>
    <w:p w:rsidR="0030336B" w:rsidRDefault="0030336B" w:rsidP="004D7DD1">
      <w:pPr>
        <w:autoSpaceDE w:val="0"/>
        <w:autoSpaceDN w:val="0"/>
        <w:adjustRightInd w:val="0"/>
        <w:spacing w:after="0" w:line="240" w:lineRule="auto"/>
        <w:ind w:left="425" w:right="567"/>
        <w:rPr>
          <w:rFonts w:ascii="SFBX1200" w:hAnsi="SFBX1200" w:cs="SFBX1200"/>
          <w:sz w:val="24"/>
          <w:szCs w:val="24"/>
        </w:rPr>
      </w:pPr>
    </w:p>
    <w:p w:rsidR="006A6255" w:rsidRPr="0030336B" w:rsidRDefault="006A6255" w:rsidP="004D7DD1">
      <w:pPr>
        <w:autoSpaceDE w:val="0"/>
        <w:autoSpaceDN w:val="0"/>
        <w:adjustRightInd w:val="0"/>
        <w:spacing w:after="0" w:line="240" w:lineRule="auto"/>
        <w:ind w:left="425" w:right="567"/>
        <w:rPr>
          <w:rFonts w:ascii="SFBX1200" w:hAnsi="SFBX1200" w:cs="SFBX1200"/>
          <w:b/>
          <w:bCs/>
          <w:sz w:val="24"/>
          <w:szCs w:val="24"/>
          <w:lang w:val="en-US"/>
        </w:rPr>
      </w:pPr>
      <w:r w:rsidRPr="0030336B">
        <w:rPr>
          <w:rFonts w:ascii="SFBX1200" w:hAnsi="SFBX1200" w:cs="SFBX1200"/>
          <w:b/>
          <w:bCs/>
          <w:sz w:val="24"/>
          <w:szCs w:val="24"/>
          <w:lang w:val="en-US"/>
        </w:rPr>
        <w:t>Abstract</w:t>
      </w:r>
    </w:p>
    <w:p w:rsidR="006A6255" w:rsidRPr="0030336B" w:rsidRDefault="006A6255" w:rsidP="004D7DD1">
      <w:pPr>
        <w:autoSpaceDE w:val="0"/>
        <w:autoSpaceDN w:val="0"/>
        <w:adjustRightInd w:val="0"/>
        <w:spacing w:after="0" w:line="240" w:lineRule="auto"/>
        <w:ind w:left="425" w:right="567"/>
        <w:rPr>
          <w:rFonts w:ascii="SFBX1200" w:hAnsi="SFBX1200" w:cs="SFBX1200"/>
          <w:b/>
          <w:bCs/>
          <w:sz w:val="16"/>
          <w:szCs w:val="16"/>
          <w:lang w:val="en-US"/>
        </w:rPr>
      </w:pPr>
    </w:p>
    <w:p w:rsidR="006A6255" w:rsidRPr="0030336B" w:rsidRDefault="006A6255" w:rsidP="004D7DD1">
      <w:pPr>
        <w:autoSpaceDE w:val="0"/>
        <w:autoSpaceDN w:val="0"/>
        <w:adjustRightInd w:val="0"/>
        <w:spacing w:after="0" w:line="240" w:lineRule="auto"/>
        <w:ind w:left="425" w:right="567"/>
        <w:jc w:val="both"/>
        <w:rPr>
          <w:rFonts w:ascii="SFRM1095" w:hAnsi="SFRM1095" w:cs="SFRM1095"/>
          <w:lang w:val="en-US"/>
        </w:rPr>
      </w:pPr>
      <w:r w:rsidRPr="0030336B">
        <w:rPr>
          <w:rFonts w:ascii="SFRM1095" w:hAnsi="SFRM1095" w:cs="SFRM1095"/>
          <w:lang w:val="en-US"/>
        </w:rPr>
        <w:t xml:space="preserve">The effect of thermal non </w:t>
      </w:r>
      <w:proofErr w:type="spellStart"/>
      <w:r w:rsidRPr="0030336B">
        <w:rPr>
          <w:rFonts w:ascii="SFRM1095" w:hAnsi="SFRM1095" w:cs="SFRM1095"/>
          <w:lang w:val="en-US"/>
        </w:rPr>
        <w:t>uniformityaccording</w:t>
      </w:r>
      <w:proofErr w:type="spellEnd"/>
      <w:r w:rsidRPr="0030336B">
        <w:rPr>
          <w:rFonts w:ascii="SFRM1095" w:hAnsi="SFRM1095" w:cs="SFRM1095"/>
          <w:lang w:val="en-US"/>
        </w:rPr>
        <w:t xml:space="preserve"> to the transversal </w:t>
      </w:r>
      <w:proofErr w:type="spellStart"/>
      <w:r w:rsidRPr="0030336B">
        <w:rPr>
          <w:rFonts w:ascii="SFRM1095" w:hAnsi="SFRM1095" w:cs="SFRM1095"/>
          <w:lang w:val="en-US"/>
        </w:rPr>
        <w:t>sens</w:t>
      </w:r>
      <w:proofErr w:type="spellEnd"/>
      <w:r w:rsidRPr="0030336B">
        <w:rPr>
          <w:rFonts w:ascii="SFRM1095" w:hAnsi="SFRM1095" w:cs="SFRM1095"/>
          <w:lang w:val="en-US"/>
        </w:rPr>
        <w:t xml:space="preserve"> on energy conversion is one of the treated </w:t>
      </w:r>
      <w:proofErr w:type="gramStart"/>
      <w:r w:rsidRPr="0030336B">
        <w:rPr>
          <w:rFonts w:ascii="SFRM1095" w:hAnsi="SFRM1095" w:cs="SFRM1095"/>
          <w:lang w:val="en-US"/>
        </w:rPr>
        <w:t>aspect</w:t>
      </w:r>
      <w:proofErr w:type="gramEnd"/>
      <w:r w:rsidRPr="0030336B">
        <w:rPr>
          <w:rFonts w:ascii="SFRM1095" w:hAnsi="SFRM1095" w:cs="SFRM1095"/>
          <w:lang w:val="en-US"/>
        </w:rPr>
        <w:t xml:space="preserve"> in </w:t>
      </w:r>
      <w:proofErr w:type="spellStart"/>
      <w:r w:rsidRPr="0030336B">
        <w:rPr>
          <w:rFonts w:ascii="SFRM1095" w:hAnsi="SFRM1095" w:cs="SFRM1095"/>
          <w:lang w:val="en-US"/>
        </w:rPr>
        <w:t>thermoacoustics</w:t>
      </w:r>
      <w:proofErr w:type="spellEnd"/>
      <w:r w:rsidRPr="0030336B">
        <w:rPr>
          <w:rFonts w:ascii="SFRM1095" w:hAnsi="SFRM1095" w:cs="SFRM1095"/>
          <w:lang w:val="en-US"/>
        </w:rPr>
        <w:t xml:space="preserve">. </w:t>
      </w:r>
      <w:proofErr w:type="gramStart"/>
      <w:r w:rsidRPr="0030336B">
        <w:rPr>
          <w:rFonts w:ascii="SFRM1095" w:hAnsi="SFRM1095" w:cs="SFRM1095"/>
          <w:lang w:val="en-US"/>
        </w:rPr>
        <w:t xml:space="preserve">This non </w:t>
      </w:r>
      <w:proofErr w:type="spellStart"/>
      <w:r w:rsidRPr="0030336B">
        <w:rPr>
          <w:rFonts w:ascii="SFRM1095" w:hAnsi="SFRM1095" w:cs="SFRM1095"/>
          <w:lang w:val="en-US"/>
        </w:rPr>
        <w:t>uniformityisnoticedexperimentaly</w:t>
      </w:r>
      <w:proofErr w:type="spellEnd"/>
      <w:r w:rsidRPr="0030336B">
        <w:rPr>
          <w:rFonts w:ascii="SFRM1095" w:hAnsi="SFRM1095" w:cs="SFRM1095"/>
          <w:lang w:val="en-US"/>
        </w:rPr>
        <w:t xml:space="preserve"> in the </w:t>
      </w:r>
      <w:proofErr w:type="spellStart"/>
      <w:r w:rsidRPr="0030336B">
        <w:rPr>
          <w:rFonts w:ascii="SFRM1095" w:hAnsi="SFRM1095" w:cs="SFRM1095"/>
          <w:lang w:val="en-US"/>
        </w:rPr>
        <w:t>experimentaldevicesespecially</w:t>
      </w:r>
      <w:proofErr w:type="spellEnd"/>
      <w:r w:rsidRPr="0030336B">
        <w:rPr>
          <w:rFonts w:ascii="SFRM1095" w:hAnsi="SFRM1095" w:cs="SFRM1095"/>
          <w:lang w:val="en-US"/>
        </w:rPr>
        <w:t xml:space="preserve"> in the </w:t>
      </w:r>
      <w:proofErr w:type="spellStart"/>
      <w:r w:rsidRPr="0030336B">
        <w:rPr>
          <w:rFonts w:ascii="SFRM1095" w:hAnsi="SFRM1095" w:cs="SFRM1095"/>
          <w:lang w:val="en-US"/>
        </w:rPr>
        <w:t>heatexchanger</w:t>
      </w:r>
      <w:proofErr w:type="spellEnd"/>
      <w:r w:rsidRPr="0030336B">
        <w:rPr>
          <w:rFonts w:ascii="SFRM1095" w:hAnsi="SFRM1095" w:cs="SFRM1095"/>
          <w:lang w:val="en-US"/>
        </w:rPr>
        <w:t xml:space="preserve"> and the stack.</w:t>
      </w:r>
      <w:proofErr w:type="gramEnd"/>
      <w:r w:rsidRPr="0030336B">
        <w:rPr>
          <w:rFonts w:ascii="SFRM1095" w:hAnsi="SFRM1095" w:cs="SFRM1095"/>
          <w:lang w:val="en-US"/>
        </w:rPr>
        <w:t xml:space="preserve"> In </w:t>
      </w:r>
      <w:proofErr w:type="spellStart"/>
      <w:r w:rsidRPr="0030336B">
        <w:rPr>
          <w:rFonts w:ascii="SFRM1095" w:hAnsi="SFRM1095" w:cs="SFRM1095"/>
          <w:lang w:val="en-US"/>
        </w:rPr>
        <w:t>thiswork</w:t>
      </w:r>
      <w:proofErr w:type="spellEnd"/>
      <w:r w:rsidRPr="0030336B">
        <w:rPr>
          <w:rFonts w:ascii="SFRM1095" w:hAnsi="SFRM1095" w:cs="SFRM1095"/>
          <w:lang w:val="en-US"/>
        </w:rPr>
        <w:t xml:space="preserve">, the acoustic propagation in </w:t>
      </w:r>
      <w:proofErr w:type="spellStart"/>
      <w:r w:rsidRPr="0030336B">
        <w:rPr>
          <w:rFonts w:ascii="SFRM1095" w:hAnsi="SFRM1095" w:cs="SFRM1095"/>
          <w:lang w:val="en-US"/>
        </w:rPr>
        <w:t>confinedfluidbetweentwo</w:t>
      </w:r>
      <w:proofErr w:type="spellEnd"/>
      <w:r w:rsidRPr="0030336B">
        <w:rPr>
          <w:rFonts w:ascii="SFRM1095" w:hAnsi="SFRM1095" w:cs="SFRM1095"/>
          <w:lang w:val="en-US"/>
        </w:rPr>
        <w:t xml:space="preserve"> plates </w:t>
      </w:r>
      <w:proofErr w:type="spellStart"/>
      <w:r w:rsidRPr="0030336B">
        <w:rPr>
          <w:rFonts w:ascii="SFRM1095" w:hAnsi="SFRM1095" w:cs="SFRM1095"/>
          <w:lang w:val="en-US"/>
        </w:rPr>
        <w:t>isstudiedwithtakenaccount</w:t>
      </w:r>
      <w:proofErr w:type="spellEnd"/>
      <w:r w:rsidRPr="0030336B">
        <w:rPr>
          <w:rFonts w:ascii="SFRM1095" w:hAnsi="SFRM1095" w:cs="SFRM1095"/>
          <w:lang w:val="en-US"/>
        </w:rPr>
        <w:t xml:space="preserve"> the transverse gradient of temperature. Indeed, an asymptotic model </w:t>
      </w:r>
      <w:proofErr w:type="spellStart"/>
      <w:r w:rsidRPr="0030336B">
        <w:rPr>
          <w:rFonts w:ascii="SFRM1095" w:hAnsi="SFRM1095" w:cs="SFRM1095"/>
          <w:lang w:val="en-US"/>
        </w:rPr>
        <w:t>isdevelloped</w:t>
      </w:r>
      <w:proofErr w:type="spellEnd"/>
      <w:r w:rsidRPr="0030336B">
        <w:rPr>
          <w:rFonts w:ascii="SFRM1095" w:hAnsi="SFRM1095" w:cs="SFRM1095"/>
          <w:lang w:val="en-US"/>
        </w:rPr>
        <w:t xml:space="preserve"> in order to quantify the effect of this transverse gradient on the acoustic variables. </w:t>
      </w:r>
      <w:proofErr w:type="gramStart"/>
      <w:r w:rsidRPr="0030336B">
        <w:rPr>
          <w:rFonts w:ascii="SFRM1095" w:hAnsi="SFRM1095" w:cs="SFRM1095"/>
          <w:lang w:val="en-US"/>
        </w:rPr>
        <w:t xml:space="preserve">The </w:t>
      </w:r>
      <w:proofErr w:type="spellStart"/>
      <w:r w:rsidRPr="0030336B">
        <w:rPr>
          <w:rFonts w:ascii="SFRM1095" w:hAnsi="SFRM1095" w:cs="SFRM1095"/>
          <w:lang w:val="en-US"/>
        </w:rPr>
        <w:t>adoptedapproachis</w:t>
      </w:r>
      <w:proofErr w:type="spellEnd"/>
      <w:r w:rsidRPr="0030336B">
        <w:rPr>
          <w:rFonts w:ascii="SFRM1095" w:hAnsi="SFRM1095" w:cs="SFRM1095"/>
          <w:lang w:val="en-US"/>
        </w:rPr>
        <w:t xml:space="preserve"> an extension of the linear standard </w:t>
      </w:r>
      <w:proofErr w:type="spellStart"/>
      <w:r w:rsidRPr="0030336B">
        <w:rPr>
          <w:rFonts w:ascii="SFRM1095" w:hAnsi="SFRM1095" w:cs="SFRM1095"/>
          <w:lang w:val="en-US"/>
        </w:rPr>
        <w:t>theorywhichisvalidonly</w:t>
      </w:r>
      <w:proofErr w:type="spellEnd"/>
      <w:r w:rsidRPr="0030336B">
        <w:rPr>
          <w:rFonts w:ascii="SFRM1095" w:hAnsi="SFRM1095" w:cs="SFRM1095"/>
          <w:lang w:val="en-US"/>
        </w:rPr>
        <w:t xml:space="preserve"> in the case of the null transverse gradient of temperature.</w:t>
      </w:r>
      <w:proofErr w:type="gramEnd"/>
      <w:r w:rsidRPr="0030336B">
        <w:rPr>
          <w:rFonts w:ascii="SFRM1095" w:hAnsi="SFRM1095" w:cs="SFRM1095"/>
          <w:lang w:val="en-US"/>
        </w:rPr>
        <w:t xml:space="preserve"> </w:t>
      </w:r>
      <w:proofErr w:type="gramStart"/>
      <w:r w:rsidRPr="0030336B">
        <w:rPr>
          <w:rFonts w:ascii="SFRM1095" w:hAnsi="SFRM1095" w:cs="SFRM1095"/>
          <w:lang w:val="en-US"/>
        </w:rPr>
        <w:t xml:space="preserve">In addition, </w:t>
      </w:r>
      <w:proofErr w:type="spellStart"/>
      <w:r w:rsidRPr="0030336B">
        <w:rPr>
          <w:rFonts w:ascii="SFRM1095" w:hAnsi="SFRM1095" w:cs="SFRM1095"/>
          <w:lang w:val="en-US"/>
        </w:rPr>
        <w:t>thisapproachisdestinguichedfrom</w:t>
      </w:r>
      <w:proofErr w:type="spellEnd"/>
      <w:r w:rsidRPr="0030336B">
        <w:rPr>
          <w:rFonts w:ascii="SFRM1095" w:hAnsi="SFRM1095" w:cs="SFRM1095"/>
          <w:lang w:val="en-US"/>
        </w:rPr>
        <w:t xml:space="preserve"> the used CFD methods by the </w:t>
      </w:r>
      <w:proofErr w:type="spellStart"/>
      <w:r w:rsidRPr="0030336B">
        <w:rPr>
          <w:rFonts w:ascii="SFRM1095" w:hAnsi="SFRM1095" w:cs="SFRM1095"/>
          <w:lang w:val="en-US"/>
        </w:rPr>
        <w:t>simplercalculus</w:t>
      </w:r>
      <w:proofErr w:type="spellEnd"/>
      <w:r w:rsidRPr="0030336B">
        <w:rPr>
          <w:rFonts w:ascii="SFRM1095" w:hAnsi="SFRM1095" w:cs="SFRM1095"/>
          <w:lang w:val="en-US"/>
        </w:rPr>
        <w:t>.</w:t>
      </w:r>
      <w:proofErr w:type="gramEnd"/>
      <w:r w:rsidRPr="0030336B">
        <w:rPr>
          <w:rFonts w:ascii="SFRM1095" w:hAnsi="SFRM1095" w:cs="SFRM1095"/>
          <w:lang w:val="en-US"/>
        </w:rPr>
        <w:t xml:space="preserve"> At the opposite of </w:t>
      </w:r>
      <w:proofErr w:type="spellStart"/>
      <w:r w:rsidRPr="0030336B">
        <w:rPr>
          <w:rFonts w:ascii="SFRM1095" w:hAnsi="SFRM1095" w:cs="SFRM1095"/>
          <w:lang w:val="en-US"/>
        </w:rPr>
        <w:t>existingworks</w:t>
      </w:r>
      <w:proofErr w:type="spellEnd"/>
      <w:r w:rsidRPr="0030336B">
        <w:rPr>
          <w:rFonts w:ascii="SFRM1095" w:hAnsi="SFRM1095" w:cs="SFRM1095"/>
          <w:lang w:val="en-US"/>
        </w:rPr>
        <w:t xml:space="preserve"> in the literature, the proposed model does not assume a hypothesis on the transverse </w:t>
      </w:r>
      <w:proofErr w:type="spellStart"/>
      <w:r w:rsidRPr="0030336B">
        <w:rPr>
          <w:rFonts w:ascii="SFRM1095" w:hAnsi="SFRM1095" w:cs="SFRM1095"/>
          <w:lang w:val="en-US"/>
        </w:rPr>
        <w:t>temperaturefieldlayout</w:t>
      </w:r>
      <w:proofErr w:type="spellEnd"/>
      <w:r w:rsidRPr="0030336B">
        <w:rPr>
          <w:rFonts w:ascii="SFRM1095" w:hAnsi="SFRM1095" w:cs="SFRM1095"/>
          <w:lang w:val="en-US"/>
        </w:rPr>
        <w:t xml:space="preserve">. </w:t>
      </w:r>
    </w:p>
    <w:p w:rsidR="006A6255" w:rsidRPr="0030336B" w:rsidRDefault="006A6255" w:rsidP="004D7DD1">
      <w:pPr>
        <w:autoSpaceDE w:val="0"/>
        <w:autoSpaceDN w:val="0"/>
        <w:adjustRightInd w:val="0"/>
        <w:spacing w:after="0" w:line="240" w:lineRule="auto"/>
        <w:ind w:left="425" w:right="567"/>
        <w:jc w:val="both"/>
        <w:rPr>
          <w:rFonts w:ascii="SFRM1095" w:hAnsi="SFRM1095" w:cs="SFRM1095"/>
          <w:lang w:val="en-US"/>
        </w:rPr>
      </w:pPr>
      <w:r w:rsidRPr="0030336B">
        <w:rPr>
          <w:rFonts w:ascii="SFRM1095" w:hAnsi="SFRM1095" w:cs="SFRM1095"/>
          <w:lang w:val="en-US"/>
        </w:rPr>
        <w:t xml:space="preserve">Hence, the </w:t>
      </w:r>
      <w:proofErr w:type="spellStart"/>
      <w:r w:rsidRPr="0030336B">
        <w:rPr>
          <w:rFonts w:ascii="SFRM1095" w:hAnsi="SFRM1095" w:cs="SFRM1095"/>
          <w:lang w:val="en-US"/>
        </w:rPr>
        <w:t>deducedanalytic</w:t>
      </w:r>
      <w:proofErr w:type="spellEnd"/>
      <w:r w:rsidRPr="0030336B">
        <w:rPr>
          <w:rFonts w:ascii="SFRM1095" w:hAnsi="SFRM1095" w:cs="SFRM1095"/>
          <w:lang w:val="en-US"/>
        </w:rPr>
        <w:t xml:space="preserve"> expression of the critical gradient temperature in </w:t>
      </w:r>
      <w:proofErr w:type="spellStart"/>
      <w:r w:rsidRPr="0030336B">
        <w:rPr>
          <w:rFonts w:ascii="SFRM1095" w:hAnsi="SFRM1095" w:cs="SFRM1095"/>
          <w:lang w:val="en-US"/>
        </w:rPr>
        <w:t>thiswork</w:t>
      </w:r>
      <w:proofErr w:type="spellEnd"/>
      <w:r w:rsidRPr="0030336B">
        <w:rPr>
          <w:rFonts w:ascii="SFRM1095" w:hAnsi="SFRM1095" w:cs="SFRM1095"/>
          <w:lang w:val="en-US"/>
        </w:rPr>
        <w:t xml:space="preserve">, demonstrates the </w:t>
      </w:r>
      <w:proofErr w:type="spellStart"/>
      <w:r w:rsidRPr="0030336B">
        <w:rPr>
          <w:rFonts w:ascii="SFRM1095" w:hAnsi="SFRM1095" w:cs="SFRM1095"/>
          <w:lang w:val="en-US"/>
        </w:rPr>
        <w:t>eventualconsequences</w:t>
      </w:r>
      <w:proofErr w:type="spellEnd"/>
      <w:r w:rsidRPr="0030336B">
        <w:rPr>
          <w:rFonts w:ascii="SFRM1095" w:hAnsi="SFRM1095" w:cs="SFRM1095"/>
          <w:lang w:val="en-US"/>
        </w:rPr>
        <w:t xml:space="preserve"> of the temperature transverse gradient on the </w:t>
      </w:r>
      <w:proofErr w:type="spellStart"/>
      <w:r w:rsidRPr="0030336B">
        <w:rPr>
          <w:rFonts w:ascii="SFRM1095" w:hAnsi="SFRM1095" w:cs="SFRM1095"/>
          <w:lang w:val="en-US"/>
        </w:rPr>
        <w:t>thermoacoustic</w:t>
      </w:r>
      <w:proofErr w:type="spellEnd"/>
      <w:r w:rsidRPr="0030336B">
        <w:rPr>
          <w:rFonts w:ascii="SFRM1095" w:hAnsi="SFRM1095" w:cs="SFRM1095"/>
          <w:lang w:val="en-US"/>
        </w:rPr>
        <w:t xml:space="preserve"> machine </w:t>
      </w:r>
      <w:proofErr w:type="spellStart"/>
      <w:r w:rsidRPr="0030336B">
        <w:rPr>
          <w:rFonts w:ascii="SFRM1095" w:hAnsi="SFRM1095" w:cs="SFRM1095"/>
          <w:lang w:val="en-US"/>
        </w:rPr>
        <w:t>fonctioning</w:t>
      </w:r>
      <w:proofErr w:type="spellEnd"/>
      <w:r w:rsidRPr="0030336B">
        <w:rPr>
          <w:rFonts w:ascii="SFRM1095" w:hAnsi="SFRM1095" w:cs="SFRM1095"/>
          <w:lang w:val="en-US"/>
        </w:rPr>
        <w:t xml:space="preserve">. </w:t>
      </w:r>
      <w:proofErr w:type="gramStart"/>
      <w:r w:rsidRPr="0030336B">
        <w:rPr>
          <w:rFonts w:ascii="SFRM1095" w:hAnsi="SFRM1095" w:cs="SFRM1095"/>
          <w:lang w:val="en-US"/>
        </w:rPr>
        <w:t xml:space="preserve">In addition, the analysis of the </w:t>
      </w:r>
      <w:proofErr w:type="spellStart"/>
      <w:r w:rsidRPr="0030336B">
        <w:rPr>
          <w:rFonts w:ascii="SFRM1095" w:hAnsi="SFRM1095" w:cs="SFRM1095"/>
          <w:lang w:val="en-US"/>
        </w:rPr>
        <w:t>obtainedresultsallowed</w:t>
      </w:r>
      <w:proofErr w:type="spellEnd"/>
      <w:r w:rsidRPr="0030336B">
        <w:rPr>
          <w:rFonts w:ascii="SFRM1095" w:hAnsi="SFRM1095" w:cs="SFRM1095"/>
          <w:lang w:val="en-US"/>
        </w:rPr>
        <w:t xml:space="preserve"> to have an appreciation of the transverse convection, which are </w:t>
      </w:r>
      <w:proofErr w:type="spellStart"/>
      <w:r w:rsidRPr="0030336B">
        <w:rPr>
          <w:rFonts w:ascii="SFRM1095" w:hAnsi="SFRM1095" w:cs="SFRM1095"/>
          <w:lang w:val="en-US"/>
        </w:rPr>
        <w:t>inducedfrom</w:t>
      </w:r>
      <w:proofErr w:type="spellEnd"/>
      <w:r w:rsidRPr="0030336B">
        <w:rPr>
          <w:rFonts w:ascii="SFRM1095" w:hAnsi="SFRM1095" w:cs="SFRM1095"/>
          <w:lang w:val="en-US"/>
        </w:rPr>
        <w:t xml:space="preserve"> the thermal non </w:t>
      </w:r>
      <w:proofErr w:type="spellStart"/>
      <w:r w:rsidRPr="0030336B">
        <w:rPr>
          <w:rFonts w:ascii="SFRM1095" w:hAnsi="SFRM1095" w:cs="SFRM1095"/>
          <w:lang w:val="en-US"/>
        </w:rPr>
        <w:t>uniformityaccording</w:t>
      </w:r>
      <w:proofErr w:type="spellEnd"/>
      <w:r w:rsidRPr="0030336B">
        <w:rPr>
          <w:rFonts w:ascii="SFRM1095" w:hAnsi="SFRM1095" w:cs="SFRM1095"/>
          <w:lang w:val="en-US"/>
        </w:rPr>
        <w:t xml:space="preserve"> to the transversal </w:t>
      </w:r>
      <w:proofErr w:type="spellStart"/>
      <w:r w:rsidRPr="0030336B">
        <w:rPr>
          <w:rFonts w:ascii="SFRM1095" w:hAnsi="SFRM1095" w:cs="SFRM1095"/>
          <w:lang w:val="en-US"/>
        </w:rPr>
        <w:t>sens</w:t>
      </w:r>
      <w:proofErr w:type="spellEnd"/>
      <w:r w:rsidRPr="0030336B">
        <w:rPr>
          <w:rFonts w:ascii="SFRM1095" w:hAnsi="SFRM1095" w:cs="SFRM1095"/>
          <w:lang w:val="en-US"/>
        </w:rPr>
        <w:t xml:space="preserve">, on the evolution of the </w:t>
      </w:r>
      <w:proofErr w:type="spellStart"/>
      <w:r w:rsidRPr="0030336B">
        <w:rPr>
          <w:rFonts w:ascii="SFRM1095" w:hAnsi="SFRM1095" w:cs="SFRM1095"/>
          <w:lang w:val="en-US"/>
        </w:rPr>
        <w:t>acousticquantities</w:t>
      </w:r>
      <w:proofErr w:type="spellEnd"/>
      <w:r w:rsidRPr="0030336B">
        <w:rPr>
          <w:rFonts w:ascii="SFRM1095" w:hAnsi="SFRM1095" w:cs="SFRM1095"/>
          <w:lang w:val="en-US"/>
        </w:rPr>
        <w:t xml:space="preserve"> and the </w:t>
      </w:r>
      <w:proofErr w:type="spellStart"/>
      <w:r w:rsidRPr="0030336B">
        <w:rPr>
          <w:rFonts w:ascii="SFRM1095" w:hAnsi="SFRM1095" w:cs="SFRM1095"/>
          <w:lang w:val="en-US"/>
        </w:rPr>
        <w:t>energetical</w:t>
      </w:r>
      <w:proofErr w:type="spellEnd"/>
      <w:r w:rsidRPr="0030336B">
        <w:rPr>
          <w:rFonts w:ascii="SFRM1095" w:hAnsi="SFRM1095" w:cs="SFRM1095"/>
          <w:lang w:val="en-US"/>
        </w:rPr>
        <w:t xml:space="preserve"> transport in general.</w:t>
      </w:r>
      <w:proofErr w:type="gramEnd"/>
    </w:p>
    <w:p w:rsidR="006A6255" w:rsidRPr="0030336B" w:rsidRDefault="006A6255" w:rsidP="004D7DD1">
      <w:pPr>
        <w:autoSpaceDE w:val="0"/>
        <w:autoSpaceDN w:val="0"/>
        <w:adjustRightInd w:val="0"/>
        <w:spacing w:after="0" w:line="240" w:lineRule="auto"/>
        <w:ind w:left="425" w:right="567"/>
        <w:jc w:val="both"/>
        <w:rPr>
          <w:rFonts w:ascii="SFRM1095" w:hAnsi="SFRM1095" w:cs="SFRM1095"/>
          <w:sz w:val="16"/>
          <w:szCs w:val="16"/>
          <w:lang w:val="en-US"/>
        </w:rPr>
      </w:pPr>
    </w:p>
    <w:sectPr w:rsidR="006A6255" w:rsidRPr="0030336B" w:rsidSect="004D7DD1">
      <w:pgSz w:w="11906" w:h="16838"/>
      <w:pgMar w:top="1135" w:right="566" w:bottom="1417" w:left="56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FRM1095">
    <w:altName w:val="Times New Roman"/>
    <w:panose1 w:val="00000000000000000000"/>
    <w:charset w:val="00"/>
    <w:family w:val="auto"/>
    <w:notTrueType/>
    <w:pitch w:val="default"/>
    <w:sig w:usb0="00000003" w:usb1="00000000" w:usb2="00000000" w:usb3="00000000" w:csb0="00000001" w:csb1="00000000"/>
  </w:font>
  <w:font w:name="SFBX1200">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A75173"/>
    <w:rsid w:val="000079B5"/>
    <w:rsid w:val="0001357F"/>
    <w:rsid w:val="00013BA6"/>
    <w:rsid w:val="00014673"/>
    <w:rsid w:val="000356E0"/>
    <w:rsid w:val="00047E33"/>
    <w:rsid w:val="00050A55"/>
    <w:rsid w:val="00053DB4"/>
    <w:rsid w:val="000624A5"/>
    <w:rsid w:val="000715F5"/>
    <w:rsid w:val="00072513"/>
    <w:rsid w:val="000835F2"/>
    <w:rsid w:val="000B4F13"/>
    <w:rsid w:val="000B6D21"/>
    <w:rsid w:val="000F3174"/>
    <w:rsid w:val="000F5C06"/>
    <w:rsid w:val="00105FDC"/>
    <w:rsid w:val="00110CCD"/>
    <w:rsid w:val="00122AB4"/>
    <w:rsid w:val="00131734"/>
    <w:rsid w:val="00135498"/>
    <w:rsid w:val="0014068D"/>
    <w:rsid w:val="001835E3"/>
    <w:rsid w:val="00193FC3"/>
    <w:rsid w:val="001950B7"/>
    <w:rsid w:val="001B24AA"/>
    <w:rsid w:val="001C26E0"/>
    <w:rsid w:val="001C3517"/>
    <w:rsid w:val="001C7583"/>
    <w:rsid w:val="001E2C01"/>
    <w:rsid w:val="00204507"/>
    <w:rsid w:val="00211B32"/>
    <w:rsid w:val="00223649"/>
    <w:rsid w:val="002269F5"/>
    <w:rsid w:val="00226EC6"/>
    <w:rsid w:val="002777D2"/>
    <w:rsid w:val="00284362"/>
    <w:rsid w:val="0029082D"/>
    <w:rsid w:val="00291F64"/>
    <w:rsid w:val="002A558E"/>
    <w:rsid w:val="002A5D52"/>
    <w:rsid w:val="002C7000"/>
    <w:rsid w:val="002E2B04"/>
    <w:rsid w:val="002F170C"/>
    <w:rsid w:val="002F362A"/>
    <w:rsid w:val="0030336B"/>
    <w:rsid w:val="003071C2"/>
    <w:rsid w:val="00312AE9"/>
    <w:rsid w:val="003212FD"/>
    <w:rsid w:val="00323360"/>
    <w:rsid w:val="00344A2E"/>
    <w:rsid w:val="00345505"/>
    <w:rsid w:val="00346089"/>
    <w:rsid w:val="003540DD"/>
    <w:rsid w:val="003844F4"/>
    <w:rsid w:val="00393578"/>
    <w:rsid w:val="00397923"/>
    <w:rsid w:val="003B54D9"/>
    <w:rsid w:val="003D1DCF"/>
    <w:rsid w:val="003E4DC5"/>
    <w:rsid w:val="00404D67"/>
    <w:rsid w:val="00407659"/>
    <w:rsid w:val="0042076B"/>
    <w:rsid w:val="00421DB6"/>
    <w:rsid w:val="00434BD1"/>
    <w:rsid w:val="004623E7"/>
    <w:rsid w:val="0048054A"/>
    <w:rsid w:val="00490563"/>
    <w:rsid w:val="004909B8"/>
    <w:rsid w:val="004A24F2"/>
    <w:rsid w:val="004A312F"/>
    <w:rsid w:val="004D7DD1"/>
    <w:rsid w:val="004E22E9"/>
    <w:rsid w:val="004E4A02"/>
    <w:rsid w:val="004E6CB1"/>
    <w:rsid w:val="004F5252"/>
    <w:rsid w:val="004F6DCE"/>
    <w:rsid w:val="0050767A"/>
    <w:rsid w:val="00512363"/>
    <w:rsid w:val="00520FE9"/>
    <w:rsid w:val="00533EA4"/>
    <w:rsid w:val="0054142E"/>
    <w:rsid w:val="0054148A"/>
    <w:rsid w:val="005441B2"/>
    <w:rsid w:val="00550EEE"/>
    <w:rsid w:val="005575B1"/>
    <w:rsid w:val="00565285"/>
    <w:rsid w:val="005669B0"/>
    <w:rsid w:val="005700E2"/>
    <w:rsid w:val="005723C5"/>
    <w:rsid w:val="00581C6D"/>
    <w:rsid w:val="005879EA"/>
    <w:rsid w:val="005907A4"/>
    <w:rsid w:val="005954EC"/>
    <w:rsid w:val="005B579B"/>
    <w:rsid w:val="005E0F6F"/>
    <w:rsid w:val="005E472A"/>
    <w:rsid w:val="005E74B0"/>
    <w:rsid w:val="005F3D20"/>
    <w:rsid w:val="005F4BDE"/>
    <w:rsid w:val="006140A7"/>
    <w:rsid w:val="00647883"/>
    <w:rsid w:val="006579DE"/>
    <w:rsid w:val="00660B27"/>
    <w:rsid w:val="00675B51"/>
    <w:rsid w:val="00680526"/>
    <w:rsid w:val="006845FF"/>
    <w:rsid w:val="00690ED0"/>
    <w:rsid w:val="00696374"/>
    <w:rsid w:val="00697F6C"/>
    <w:rsid w:val="006A6255"/>
    <w:rsid w:val="006B3728"/>
    <w:rsid w:val="006C2532"/>
    <w:rsid w:val="006C3A09"/>
    <w:rsid w:val="007273D2"/>
    <w:rsid w:val="00735637"/>
    <w:rsid w:val="007379A6"/>
    <w:rsid w:val="00762C05"/>
    <w:rsid w:val="00780396"/>
    <w:rsid w:val="00783021"/>
    <w:rsid w:val="0078331F"/>
    <w:rsid w:val="00785C89"/>
    <w:rsid w:val="00786134"/>
    <w:rsid w:val="007866CD"/>
    <w:rsid w:val="007913C7"/>
    <w:rsid w:val="00794322"/>
    <w:rsid w:val="007A3FA9"/>
    <w:rsid w:val="007A5ECE"/>
    <w:rsid w:val="007A63A6"/>
    <w:rsid w:val="007A6A86"/>
    <w:rsid w:val="007C1D3F"/>
    <w:rsid w:val="007C25F4"/>
    <w:rsid w:val="007C50FB"/>
    <w:rsid w:val="007D23F1"/>
    <w:rsid w:val="007E1F6D"/>
    <w:rsid w:val="007F5D9D"/>
    <w:rsid w:val="007F747E"/>
    <w:rsid w:val="00803F12"/>
    <w:rsid w:val="00807471"/>
    <w:rsid w:val="00850733"/>
    <w:rsid w:val="0086360B"/>
    <w:rsid w:val="008742F0"/>
    <w:rsid w:val="008762FD"/>
    <w:rsid w:val="008805A3"/>
    <w:rsid w:val="00892255"/>
    <w:rsid w:val="008A0018"/>
    <w:rsid w:val="008B6814"/>
    <w:rsid w:val="008C1F40"/>
    <w:rsid w:val="008D65B5"/>
    <w:rsid w:val="008E2C90"/>
    <w:rsid w:val="008F0841"/>
    <w:rsid w:val="00901643"/>
    <w:rsid w:val="009104A3"/>
    <w:rsid w:val="0092197E"/>
    <w:rsid w:val="00930179"/>
    <w:rsid w:val="00936B3A"/>
    <w:rsid w:val="00947C67"/>
    <w:rsid w:val="00962E70"/>
    <w:rsid w:val="00972E07"/>
    <w:rsid w:val="00973C44"/>
    <w:rsid w:val="00982FCF"/>
    <w:rsid w:val="009849E4"/>
    <w:rsid w:val="00985673"/>
    <w:rsid w:val="00991302"/>
    <w:rsid w:val="009974FC"/>
    <w:rsid w:val="009C3B52"/>
    <w:rsid w:val="009E72AB"/>
    <w:rsid w:val="009F30BA"/>
    <w:rsid w:val="009F761A"/>
    <w:rsid w:val="00A00050"/>
    <w:rsid w:val="00A04FD9"/>
    <w:rsid w:val="00A13FC8"/>
    <w:rsid w:val="00A17EAE"/>
    <w:rsid w:val="00A30333"/>
    <w:rsid w:val="00A373FD"/>
    <w:rsid w:val="00A44F0F"/>
    <w:rsid w:val="00A75173"/>
    <w:rsid w:val="00A754CA"/>
    <w:rsid w:val="00A762DA"/>
    <w:rsid w:val="00A76942"/>
    <w:rsid w:val="00A77C1E"/>
    <w:rsid w:val="00A9238D"/>
    <w:rsid w:val="00A95D9C"/>
    <w:rsid w:val="00A97E52"/>
    <w:rsid w:val="00AB1EE4"/>
    <w:rsid w:val="00AB22E3"/>
    <w:rsid w:val="00AC1D62"/>
    <w:rsid w:val="00AD09A7"/>
    <w:rsid w:val="00B0697D"/>
    <w:rsid w:val="00B079EA"/>
    <w:rsid w:val="00B1594D"/>
    <w:rsid w:val="00B20CE5"/>
    <w:rsid w:val="00B22BB2"/>
    <w:rsid w:val="00B25DF3"/>
    <w:rsid w:val="00B267E7"/>
    <w:rsid w:val="00B51262"/>
    <w:rsid w:val="00B63F9D"/>
    <w:rsid w:val="00B72A91"/>
    <w:rsid w:val="00B76F70"/>
    <w:rsid w:val="00B8334D"/>
    <w:rsid w:val="00B8460C"/>
    <w:rsid w:val="00B879B2"/>
    <w:rsid w:val="00B969F8"/>
    <w:rsid w:val="00BB72A1"/>
    <w:rsid w:val="00BC627B"/>
    <w:rsid w:val="00BD0379"/>
    <w:rsid w:val="00BD7750"/>
    <w:rsid w:val="00BD7F52"/>
    <w:rsid w:val="00C0488F"/>
    <w:rsid w:val="00C05A7B"/>
    <w:rsid w:val="00C33C3E"/>
    <w:rsid w:val="00C458EE"/>
    <w:rsid w:val="00C46B35"/>
    <w:rsid w:val="00C6077A"/>
    <w:rsid w:val="00C62AE3"/>
    <w:rsid w:val="00C6696A"/>
    <w:rsid w:val="00C7055E"/>
    <w:rsid w:val="00C76596"/>
    <w:rsid w:val="00C77AFB"/>
    <w:rsid w:val="00C8544E"/>
    <w:rsid w:val="00C865B7"/>
    <w:rsid w:val="00C93E34"/>
    <w:rsid w:val="00CA507F"/>
    <w:rsid w:val="00CB6132"/>
    <w:rsid w:val="00CC578F"/>
    <w:rsid w:val="00CD46F7"/>
    <w:rsid w:val="00CD59B0"/>
    <w:rsid w:val="00CE37E5"/>
    <w:rsid w:val="00CE534E"/>
    <w:rsid w:val="00D120CE"/>
    <w:rsid w:val="00D311AE"/>
    <w:rsid w:val="00D33525"/>
    <w:rsid w:val="00D41F50"/>
    <w:rsid w:val="00D473F0"/>
    <w:rsid w:val="00D63B29"/>
    <w:rsid w:val="00D9003E"/>
    <w:rsid w:val="00D9133A"/>
    <w:rsid w:val="00DB79E6"/>
    <w:rsid w:val="00DD23E4"/>
    <w:rsid w:val="00DD79CA"/>
    <w:rsid w:val="00DF0B1D"/>
    <w:rsid w:val="00DF189E"/>
    <w:rsid w:val="00DF6F30"/>
    <w:rsid w:val="00E23168"/>
    <w:rsid w:val="00E25B59"/>
    <w:rsid w:val="00E26D31"/>
    <w:rsid w:val="00E406C3"/>
    <w:rsid w:val="00E43CA3"/>
    <w:rsid w:val="00E4672C"/>
    <w:rsid w:val="00E61630"/>
    <w:rsid w:val="00E971BC"/>
    <w:rsid w:val="00EA0CB5"/>
    <w:rsid w:val="00EA19EE"/>
    <w:rsid w:val="00EA7596"/>
    <w:rsid w:val="00EC2BDB"/>
    <w:rsid w:val="00EC566D"/>
    <w:rsid w:val="00EC6ACB"/>
    <w:rsid w:val="00EC7589"/>
    <w:rsid w:val="00EE48FB"/>
    <w:rsid w:val="00EF0F66"/>
    <w:rsid w:val="00F23E75"/>
    <w:rsid w:val="00F26C1B"/>
    <w:rsid w:val="00F26E3D"/>
    <w:rsid w:val="00F35FBE"/>
    <w:rsid w:val="00F4220A"/>
    <w:rsid w:val="00F44BF8"/>
    <w:rsid w:val="00F47C14"/>
    <w:rsid w:val="00F52EC6"/>
    <w:rsid w:val="00F72685"/>
    <w:rsid w:val="00F86B1F"/>
    <w:rsid w:val="00FC4E94"/>
    <w:rsid w:val="00FD0934"/>
    <w:rsid w:val="00FD7AA1"/>
    <w:rsid w:val="00FE13C6"/>
    <w:rsid w:val="00FE289F"/>
    <w:rsid w:val="00FF362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56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5252272">
      <w:bodyDiv w:val="1"/>
      <w:marLeft w:val="0"/>
      <w:marRight w:val="0"/>
      <w:marTop w:val="0"/>
      <w:marBottom w:val="0"/>
      <w:divBdr>
        <w:top w:val="none" w:sz="0" w:space="0" w:color="auto"/>
        <w:left w:val="none" w:sz="0" w:space="0" w:color="auto"/>
        <w:bottom w:val="none" w:sz="0" w:space="0" w:color="auto"/>
        <w:right w:val="none" w:sz="0" w:space="0" w:color="auto"/>
      </w:divBdr>
    </w:div>
    <w:div w:id="1151361539">
      <w:bodyDiv w:val="1"/>
      <w:marLeft w:val="0"/>
      <w:marRight w:val="0"/>
      <w:marTop w:val="0"/>
      <w:marBottom w:val="0"/>
      <w:divBdr>
        <w:top w:val="none" w:sz="0" w:space="0" w:color="auto"/>
        <w:left w:val="none" w:sz="0" w:space="0" w:color="auto"/>
        <w:bottom w:val="none" w:sz="0" w:space="0" w:color="auto"/>
        <w:right w:val="none" w:sz="0" w:space="0" w:color="auto"/>
      </w:divBdr>
    </w:div>
    <w:div w:id="1216352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579</Words>
  <Characters>3302</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Soumia Bayarassou</dc:creator>
  <cp:lastModifiedBy>traitement</cp:lastModifiedBy>
  <cp:revision>3</cp:revision>
  <dcterms:created xsi:type="dcterms:W3CDTF">2016-12-07T10:33:00Z</dcterms:created>
  <dcterms:modified xsi:type="dcterms:W3CDTF">2016-12-07T10:33:00Z</dcterms:modified>
</cp:coreProperties>
</file>