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2E2D" w:rsidRDefault="00D92E2D" w:rsidP="00D92E2D">
      <w:r>
        <w:t xml:space="preserve">L'insuline, hormone pancréatique exerçant essentiellement des effets métaboliques, semble influencer la fonction génitale mâle.  Pour étudier  cet effet, des rats Wistar mâles adultes sont utilisés. </w:t>
      </w:r>
    </w:p>
    <w:p w:rsidR="00D92E2D" w:rsidRDefault="00D92E2D" w:rsidP="00D92E2D">
      <w:r>
        <w:t xml:space="preserve">Ils sont répartis en deux groupes, selon la nature du traitement. </w:t>
      </w:r>
    </w:p>
    <w:p w:rsidR="00D92E2D" w:rsidRDefault="00D92E2D" w:rsidP="00D92E2D">
      <w:r>
        <w:t xml:space="preserve">Les animaux constituant le premier groupe sont utilisés dans le but de créer un état d'hypoinsulinémie. A cet effet, ils reçoivent une injection unique par voie intrapéritonéale d'une substance provoquant la destruction des cellules ? langerhansiennes, la streptozotocine, utilisée à deux doses (45 mg/kg et 65 mg/kg de poids corporel). D'autre part, les animaux du deuxième groupe, reçoivent de façon quotidienne pendant 10 jours une dose de 200 µUI/g de poids corporel d'insuline, afin de créer un état d'hyperinsulinémie. </w:t>
      </w:r>
    </w:p>
    <w:p w:rsidR="00D92E2D" w:rsidRDefault="00D92E2D" w:rsidP="00D92E2D">
      <w:r>
        <w:t>Les animaux sont suivis par des pesées pondérales tout le long du traitement. A la fin de l'expérimentation, ils sont sacrifiés par décapitation. Le sang recueilli sur EDTA à 2% est centrifugé, le plasma est aliquoté et immédiatement congelé à -20°C jusqu'au moment du dosage hormonal (insuline et testostérone plasmatiques). Les organes prélevés sont dégraissés et pesés. Ils sont fixés au Bouin Hollande en vue d'une étude histologique structurale.</w:t>
      </w:r>
    </w:p>
    <w:p w:rsidR="00D92E2D" w:rsidRDefault="00D92E2D" w:rsidP="00D92E2D">
      <w:r>
        <w:t xml:space="preserve">Les deux substances injectées aux rats influencent légèrement, ou pas l'évolution pondérale, qui ne diffère pas trop de celle des animaux témoins traités par le NaCl et suivis dans les mêmes conditions que les expérimentaux.     </w:t>
      </w:r>
    </w:p>
    <w:p w:rsidR="00D92E2D" w:rsidRDefault="00D92E2D" w:rsidP="00D92E2D">
      <w:r>
        <w:t>D'autre part, le traitement par la streptozotocine provoque, une diminution significative des concentrations plasmatiques de l'insuline. La pesée des organes génitaux révèle une diminution des poids de ces derniers, plus marquée lorsque de fortes doses de streptozotocine sont utilisées. Les taux plasmatiques de la testostérone diminuent aussi par rapport aux animaux témoins.</w:t>
      </w:r>
    </w:p>
    <w:p w:rsidR="00D92E2D" w:rsidRDefault="00D92E2D" w:rsidP="00D92E2D">
      <w:r>
        <w:t>Le traitement des rats par de l'insuline à 200  UI/g de poids corporel pendant 10 jours, entraîne une hyperinsulinémie. Au niveau génital, les testicules et les organes accessoires montrent une légère élévation de leur poids. La testostéronémie ne montre aucune différence significative par rapport aux animaux témoins. Cependant, il apparaît, que les concentrations plasmatiques de la testostérone sont beaucoup plus importantes en cas d'hyperinsulinémie qu'en hypoinsulinémie.</w:t>
      </w:r>
    </w:p>
    <w:p w:rsidR="00D92E2D" w:rsidRDefault="00D92E2D" w:rsidP="00D92E2D">
      <w:r>
        <w:t xml:space="preserve">De ces résultats, il ressort donc que l'insuline pourrait être indispensable au déroulement normal de la fonction testiculaire, puisque les faibles concentrations de cette hormone sont à l'origine d'une réduction de l'activité de l'appareil génital. </w:t>
      </w:r>
    </w:p>
    <w:p w:rsidR="00D92E2D" w:rsidRDefault="00D92E2D" w:rsidP="00D92E2D"/>
    <w:p w:rsidR="008A2F12" w:rsidRDefault="008A2F12"/>
    <w:sectPr w:rsidR="008A2F12" w:rsidSect="008A2F1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92E2D"/>
    <w:rsid w:val="008A2F12"/>
    <w:rsid w:val="00D92E2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F1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397</Words>
  <Characters>2187</Characters>
  <Application>Microsoft Office Word</Application>
  <DocSecurity>0</DocSecurity>
  <Lines>18</Lines>
  <Paragraphs>5</Paragraphs>
  <ScaleCrop>false</ScaleCrop>
  <Company/>
  <LinksUpToDate>false</LinksUpToDate>
  <CharactersWithSpaces>2579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cp:revision>
  <dcterms:created xsi:type="dcterms:W3CDTF">2015-05-26T08:27:00Z</dcterms:created>
  <dcterms:modified xsi:type="dcterms:W3CDTF">2015-05-26T08:28:00Z</dcterms:modified>
</cp:coreProperties>
</file>