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2DB0" w:rsidRDefault="00932DB0">
      <w:pPr>
        <w:pStyle w:val="Style1"/>
        <w:widowControl/>
        <w:ind w:right="38"/>
        <w:rPr>
          <w:rStyle w:val="FontStyle12"/>
          <w:rFonts w:asciiTheme="majorBidi" w:hAnsiTheme="majorBidi" w:cstheme="majorBidi"/>
          <w:sz w:val="24"/>
          <w:szCs w:val="24"/>
          <w:lang w:val="fr-FR" w:eastAsia="fr-FR"/>
        </w:rPr>
      </w:pPr>
    </w:p>
    <w:p w:rsidR="00932DB0" w:rsidRDefault="00932DB0">
      <w:pPr>
        <w:pStyle w:val="Style1"/>
        <w:widowControl/>
        <w:ind w:right="38"/>
        <w:rPr>
          <w:rStyle w:val="FontStyle12"/>
          <w:rFonts w:asciiTheme="majorBidi" w:hAnsiTheme="majorBidi" w:cstheme="majorBidi"/>
          <w:sz w:val="24"/>
          <w:szCs w:val="24"/>
          <w:lang w:val="fr-FR" w:eastAsia="fr-FR"/>
        </w:rPr>
      </w:pPr>
    </w:p>
    <w:p w:rsidR="00932DB0" w:rsidRDefault="00932DB0">
      <w:pPr>
        <w:pStyle w:val="Style1"/>
        <w:widowControl/>
        <w:ind w:right="38"/>
        <w:rPr>
          <w:rStyle w:val="FontStyle12"/>
          <w:rFonts w:asciiTheme="majorBidi" w:hAnsiTheme="majorBidi" w:cstheme="majorBidi"/>
          <w:sz w:val="24"/>
          <w:szCs w:val="24"/>
          <w:lang w:val="fr-FR" w:eastAsia="fr-FR"/>
        </w:rPr>
      </w:pPr>
    </w:p>
    <w:p w:rsidR="00C96621" w:rsidRPr="00932DB0" w:rsidRDefault="00DB2DA8" w:rsidP="007A6D2D">
      <w:pPr>
        <w:pStyle w:val="Style1"/>
        <w:widowControl/>
        <w:spacing w:line="360" w:lineRule="auto"/>
        <w:ind w:right="38"/>
        <w:rPr>
          <w:rStyle w:val="FontStyle12"/>
          <w:rFonts w:asciiTheme="majorBidi" w:hAnsiTheme="majorBidi" w:cstheme="majorBidi"/>
          <w:sz w:val="24"/>
          <w:szCs w:val="24"/>
          <w:lang w:val="fr-FR" w:eastAsia="fr-FR"/>
        </w:rPr>
      </w:pPr>
      <w:r w:rsidRPr="00932DB0">
        <w:rPr>
          <w:rStyle w:val="FontStyle12"/>
          <w:rFonts w:asciiTheme="majorBidi" w:hAnsiTheme="majorBidi" w:cstheme="majorBidi"/>
          <w:sz w:val="24"/>
          <w:szCs w:val="24"/>
          <w:lang w:val="fr-FR" w:eastAsia="fr-FR"/>
        </w:rPr>
        <w:t>Dans le cadre de ce mémoire, nous avons essayé de contribuer à l'étude de la miscibilité de la famille de polymethacrylate PMMA/PBMA par introduction de 8 ou 22 % en moles d'acide acrylique au sein des chaînes de PMMA et 10 ou 26 % en moles de vinyl-4-pyridine au sein des chaînes de PBMA. L'effet de ces copolymérisations sur la miscibilité des systèmes PVC/BMV4P, MMAA/PBMA, MMAA/BMV4P a été ensuite étudié.</w:t>
      </w:r>
    </w:p>
    <w:p w:rsidR="00C96621" w:rsidRPr="00932DB0" w:rsidRDefault="00DB2DA8" w:rsidP="007A6D2D">
      <w:pPr>
        <w:pStyle w:val="Style2"/>
        <w:widowControl/>
        <w:spacing w:before="5" w:line="360" w:lineRule="auto"/>
        <w:rPr>
          <w:rStyle w:val="FontStyle12"/>
          <w:rFonts w:asciiTheme="majorBidi" w:hAnsiTheme="majorBidi" w:cstheme="majorBidi"/>
          <w:sz w:val="24"/>
          <w:szCs w:val="24"/>
          <w:lang w:val="fr-FR" w:eastAsia="fr-FR"/>
        </w:rPr>
      </w:pPr>
      <w:r w:rsidRPr="00932DB0">
        <w:rPr>
          <w:rStyle w:val="FontStyle12"/>
          <w:rFonts w:asciiTheme="majorBidi" w:hAnsiTheme="majorBidi" w:cstheme="majorBidi"/>
          <w:sz w:val="24"/>
          <w:szCs w:val="24"/>
          <w:lang w:val="fr-FR" w:eastAsia="fr-FR"/>
        </w:rPr>
        <w:t xml:space="preserve">Le PVC est un matériau plastique standard. Il est connu pour sa faible stabilité thermique et sa rigidité. Il est compatible avec une large gamme de polymethacrylates et leurs copolymères </w:t>
      </w:r>
      <w:r w:rsidRPr="00932DB0">
        <w:rPr>
          <w:rStyle w:val="FontStyle11"/>
          <w:rFonts w:asciiTheme="majorBidi" w:hAnsiTheme="majorBidi" w:cstheme="majorBidi"/>
          <w:sz w:val="24"/>
          <w:szCs w:val="24"/>
          <w:lang w:val="fr-FR" w:eastAsia="fr-FR"/>
        </w:rPr>
        <w:t>l</w:t>
      </w:r>
      <w:r w:rsidRPr="00932DB0">
        <w:rPr>
          <w:rStyle w:val="FontStyle13"/>
          <w:rFonts w:asciiTheme="majorBidi" w:hAnsiTheme="majorBidi" w:cstheme="majorBidi"/>
          <w:sz w:val="24"/>
          <w:szCs w:val="24"/>
          <w:vertAlign w:val="superscript"/>
          <w:lang w:val="fr-FR" w:eastAsia="fr-FR"/>
        </w:rPr>
        <w:t>58</w:t>
      </w:r>
      <w:r w:rsidRPr="00932DB0">
        <w:rPr>
          <w:rStyle w:val="FontStyle13"/>
          <w:rFonts w:asciiTheme="majorBidi" w:hAnsiTheme="majorBidi" w:cstheme="majorBidi"/>
          <w:sz w:val="24"/>
          <w:szCs w:val="24"/>
          <w:lang w:val="fr-FR" w:eastAsia="fr-FR"/>
        </w:rPr>
        <w:t>"</w:t>
      </w:r>
      <w:r w:rsidRPr="00932DB0">
        <w:rPr>
          <w:rStyle w:val="FontStyle13"/>
          <w:rFonts w:asciiTheme="majorBidi" w:hAnsiTheme="majorBidi" w:cstheme="majorBidi"/>
          <w:sz w:val="24"/>
          <w:szCs w:val="24"/>
          <w:vertAlign w:val="superscript"/>
          <w:lang w:val="fr-FR" w:eastAsia="fr-FR"/>
        </w:rPr>
        <w:t>6()</w:t>
      </w:r>
      <w:r w:rsidRPr="00932DB0">
        <w:rPr>
          <w:rStyle w:val="FontStyle13"/>
          <w:rFonts w:asciiTheme="majorBidi" w:hAnsiTheme="majorBidi" w:cstheme="majorBidi"/>
          <w:sz w:val="24"/>
          <w:szCs w:val="24"/>
          <w:lang w:val="fr-FR" w:eastAsia="fr-FR"/>
        </w:rPr>
        <w:t xml:space="preserve">J. </w:t>
      </w:r>
      <w:r w:rsidRPr="00932DB0">
        <w:rPr>
          <w:rStyle w:val="FontStyle12"/>
          <w:rFonts w:asciiTheme="majorBidi" w:hAnsiTheme="majorBidi" w:cstheme="majorBidi"/>
          <w:sz w:val="24"/>
          <w:szCs w:val="24"/>
          <w:lang w:val="fr-FR" w:eastAsia="fr-FR"/>
        </w:rPr>
        <w:t>Ses mélanges avec ces derniers sont caractérisés par leur transparence, souplesse, bonne résistance aux intempéries et une stabilité thermique relativement importante. L'impact de la modification est fonction de la composition du mélange, du solvant, de la température et de la tacticité des polymères.</w:t>
      </w:r>
    </w:p>
    <w:p w:rsidR="00C96621" w:rsidRPr="00932DB0" w:rsidRDefault="00DB2DA8" w:rsidP="007A6D2D">
      <w:pPr>
        <w:pStyle w:val="Style2"/>
        <w:widowControl/>
        <w:spacing w:before="10" w:line="360" w:lineRule="auto"/>
        <w:rPr>
          <w:rStyle w:val="FontStyle12"/>
          <w:rFonts w:asciiTheme="majorBidi" w:hAnsiTheme="majorBidi" w:cstheme="majorBidi"/>
          <w:sz w:val="24"/>
          <w:szCs w:val="24"/>
          <w:lang w:val="fr-FR" w:eastAsia="fr-FR"/>
        </w:rPr>
      </w:pPr>
      <w:r w:rsidRPr="00932DB0">
        <w:rPr>
          <w:rStyle w:val="FontStyle12"/>
          <w:rFonts w:asciiTheme="majorBidi" w:hAnsiTheme="majorBidi" w:cstheme="majorBidi"/>
          <w:sz w:val="24"/>
          <w:szCs w:val="24"/>
          <w:lang w:val="fr-FR" w:eastAsia="fr-FR"/>
        </w:rPr>
        <w:t xml:space="preserve">Des travaux préalables ont montré que le système PVC/PBMA est miscible en toute proportion. Le système PVC/PMMA est partiellement miscible </w:t>
      </w:r>
      <w:r w:rsidRPr="00932DB0">
        <w:rPr>
          <w:rStyle w:val="FontStyle12"/>
          <w:rFonts w:asciiTheme="majorBidi" w:hAnsiTheme="majorBidi" w:cstheme="majorBidi"/>
          <w:sz w:val="24"/>
          <w:szCs w:val="24"/>
          <w:vertAlign w:val="superscript"/>
          <w:lang w:val="fr-FR" w:eastAsia="fr-FR"/>
        </w:rPr>
        <w:t>[3</w:t>
      </w:r>
      <w:r w:rsidRPr="00932DB0">
        <w:rPr>
          <w:rStyle w:val="FontStyle12"/>
          <w:rFonts w:asciiTheme="majorBidi" w:hAnsiTheme="majorBidi" w:cstheme="majorBidi"/>
          <w:sz w:val="24"/>
          <w:szCs w:val="24"/>
          <w:lang w:val="fr-FR" w:eastAsia="fr-FR"/>
        </w:rPr>
        <w:t xml:space="preserve">' </w:t>
      </w:r>
      <w:r w:rsidRPr="00932DB0">
        <w:rPr>
          <w:rStyle w:val="FontStyle12"/>
          <w:rFonts w:asciiTheme="majorBidi" w:hAnsiTheme="majorBidi" w:cstheme="majorBidi"/>
          <w:sz w:val="24"/>
          <w:szCs w:val="24"/>
          <w:vertAlign w:val="superscript"/>
          <w:lang w:val="fr-FR" w:eastAsia="fr-FR"/>
        </w:rPr>
        <w:t>7]</w:t>
      </w:r>
      <w:r w:rsidRPr="00932DB0">
        <w:rPr>
          <w:rStyle w:val="FontStyle12"/>
          <w:rFonts w:asciiTheme="majorBidi" w:hAnsiTheme="majorBidi" w:cstheme="majorBidi"/>
          <w:sz w:val="24"/>
          <w:szCs w:val="24"/>
          <w:lang w:val="fr-FR" w:eastAsia="fr-FR"/>
        </w:rPr>
        <w:t xml:space="preserve"> D'autres études ont montré que la paire PMMA/PBMA est non miscible t</w:t>
      </w:r>
      <w:r w:rsidRPr="00932DB0">
        <w:rPr>
          <w:rStyle w:val="FontStyle12"/>
          <w:rFonts w:asciiTheme="majorBidi" w:hAnsiTheme="majorBidi" w:cstheme="majorBidi"/>
          <w:sz w:val="24"/>
          <w:szCs w:val="24"/>
          <w:vertAlign w:val="superscript"/>
          <w:lang w:val="fr-FR" w:eastAsia="fr-FR"/>
        </w:rPr>
        <w:t>61</w:t>
      </w:r>
      <w:r w:rsidRPr="00932DB0">
        <w:rPr>
          <w:rStyle w:val="FontStyle12"/>
          <w:rFonts w:asciiTheme="majorBidi" w:hAnsiTheme="majorBidi" w:cstheme="majorBidi"/>
          <w:sz w:val="24"/>
          <w:szCs w:val="24"/>
          <w:lang w:val="fr-FR" w:eastAsia="fr-FR"/>
        </w:rPr>
        <w:t>"</w:t>
      </w:r>
      <w:r w:rsidRPr="00932DB0">
        <w:rPr>
          <w:rStyle w:val="FontStyle12"/>
          <w:rFonts w:asciiTheme="majorBidi" w:hAnsiTheme="majorBidi" w:cstheme="majorBidi"/>
          <w:sz w:val="24"/>
          <w:szCs w:val="24"/>
          <w:vertAlign w:val="superscript"/>
          <w:lang w:val="fr-FR" w:eastAsia="fr-FR"/>
        </w:rPr>
        <w:t>63</w:t>
      </w:r>
      <w:r w:rsidRPr="00932DB0">
        <w:rPr>
          <w:rStyle w:val="FontStyle12"/>
          <w:rFonts w:asciiTheme="majorBidi" w:hAnsiTheme="majorBidi" w:cstheme="majorBidi"/>
          <w:sz w:val="24"/>
          <w:szCs w:val="24"/>
          <w:lang w:val="fr-FR" w:eastAsia="fr-FR"/>
        </w:rPr>
        <w:t>!</w:t>
      </w:r>
    </w:p>
    <w:p w:rsidR="00C96621" w:rsidRPr="00932DB0" w:rsidRDefault="00DB2DA8" w:rsidP="007A6D2D">
      <w:pPr>
        <w:pStyle w:val="Style2"/>
        <w:widowControl/>
        <w:spacing w:before="14" w:line="360" w:lineRule="auto"/>
        <w:ind w:firstLine="696"/>
        <w:rPr>
          <w:rStyle w:val="FontStyle12"/>
          <w:rFonts w:asciiTheme="majorBidi" w:hAnsiTheme="majorBidi" w:cstheme="majorBidi"/>
          <w:sz w:val="24"/>
          <w:szCs w:val="24"/>
          <w:lang w:val="fr-FR" w:eastAsia="fr-FR"/>
        </w:rPr>
      </w:pPr>
      <w:r w:rsidRPr="00932DB0">
        <w:rPr>
          <w:rStyle w:val="FontStyle12"/>
          <w:rFonts w:asciiTheme="majorBidi" w:hAnsiTheme="majorBidi" w:cstheme="majorBidi"/>
          <w:sz w:val="24"/>
          <w:szCs w:val="24"/>
          <w:lang w:val="fr-FR" w:eastAsia="fr-FR"/>
        </w:rPr>
        <w:t>Dans une première étape, nous avons mené une étude du système PVC/PBMA/PMMA dans le but d'une amélioration de la miscibilité du système PMMA/PBMA par la dilution de ces deux polymethacrylates dans le PVC. Les résultats de notre étude ont montré que les systèmes MMAA-22/BM4VP-26 et PVC/BM4VP-26 sont miscibles. Le système PVC/MMAA-22 est non miscible. Ainsi, le BMV4P-26 a été utilisé comme solvant pour compatibiliser la paire non miscible PVC/MMAA-22.</w:t>
      </w:r>
    </w:p>
    <w:p w:rsidR="001169AB" w:rsidRPr="00932DB0" w:rsidRDefault="00DB2DA8" w:rsidP="007A6D2D">
      <w:pPr>
        <w:pStyle w:val="Style2"/>
        <w:widowControl/>
        <w:spacing w:line="360" w:lineRule="auto"/>
        <w:ind w:firstLine="701"/>
        <w:rPr>
          <w:rStyle w:val="FontStyle12"/>
          <w:rFonts w:asciiTheme="majorBidi" w:hAnsiTheme="majorBidi" w:cstheme="majorBidi"/>
          <w:sz w:val="24"/>
          <w:szCs w:val="24"/>
          <w:lang w:val="fr-FR" w:eastAsia="fr-FR"/>
        </w:rPr>
      </w:pPr>
      <w:r w:rsidRPr="00932DB0">
        <w:rPr>
          <w:rStyle w:val="FontStyle12"/>
          <w:rFonts w:asciiTheme="majorBidi" w:hAnsiTheme="majorBidi" w:cstheme="majorBidi"/>
          <w:sz w:val="24"/>
          <w:szCs w:val="24"/>
          <w:lang w:val="fr-FR" w:eastAsia="fr-FR"/>
        </w:rPr>
        <w:t xml:space="preserve">La miscibilité ou la non miscibilité des systèmes binaires PVC/MMAA, PVC/BMV4P, MMAA/BMV4P et des systèmes ternaires PVC/PBMA/PMMA et PVC/BMV4P/MMAA a été mise en évidence qualitativement par analyse enthalpique différentielle (DSC) et quantitativement par application de l'approche de Kwei et celle de Schneider </w:t>
      </w:r>
      <w:r w:rsidRPr="00932DB0">
        <w:rPr>
          <w:rStyle w:val="FontStyle13"/>
          <w:rFonts w:asciiTheme="majorBidi" w:hAnsiTheme="majorBidi" w:cstheme="majorBidi"/>
          <w:sz w:val="24"/>
          <w:szCs w:val="24"/>
          <w:vertAlign w:val="superscript"/>
          <w:lang w:val="fr-FR" w:eastAsia="fr-FR"/>
        </w:rPr>
        <w:t>[64</w:t>
      </w:r>
      <w:r w:rsidRPr="00932DB0">
        <w:rPr>
          <w:rStyle w:val="FontStyle13"/>
          <w:rFonts w:asciiTheme="majorBidi" w:hAnsiTheme="majorBidi" w:cstheme="majorBidi"/>
          <w:sz w:val="24"/>
          <w:szCs w:val="24"/>
          <w:lang w:val="fr-FR" w:eastAsia="fr-FR"/>
        </w:rPr>
        <w:t>"</w:t>
      </w:r>
      <w:r w:rsidRPr="00932DB0">
        <w:rPr>
          <w:rStyle w:val="FontStyle13"/>
          <w:rFonts w:asciiTheme="majorBidi" w:hAnsiTheme="majorBidi" w:cstheme="majorBidi"/>
          <w:sz w:val="24"/>
          <w:szCs w:val="24"/>
          <w:vertAlign w:val="superscript"/>
          <w:lang w:val="fr-FR" w:eastAsia="fr-FR"/>
        </w:rPr>
        <w:t>67</w:t>
      </w:r>
      <w:r w:rsidR="00932DB0" w:rsidRPr="00932DB0">
        <w:rPr>
          <w:rStyle w:val="FontStyle13"/>
          <w:rFonts w:asciiTheme="majorBidi" w:hAnsiTheme="majorBidi" w:cstheme="majorBidi"/>
          <w:sz w:val="24"/>
          <w:szCs w:val="24"/>
          <w:vertAlign w:val="superscript"/>
          <w:lang w:val="fr-FR" w:eastAsia="fr-FR"/>
        </w:rPr>
        <w:t>]</w:t>
      </w:r>
      <w:r w:rsidRPr="00932DB0">
        <w:rPr>
          <w:rStyle w:val="FontStyle13"/>
          <w:rFonts w:asciiTheme="majorBidi" w:hAnsiTheme="majorBidi" w:cstheme="majorBidi"/>
          <w:sz w:val="24"/>
          <w:szCs w:val="24"/>
          <w:lang w:val="fr-FR" w:eastAsia="fr-FR"/>
        </w:rPr>
        <w:t xml:space="preserve">. </w:t>
      </w:r>
      <w:r w:rsidRPr="00932DB0">
        <w:rPr>
          <w:rStyle w:val="FontStyle12"/>
          <w:rFonts w:asciiTheme="majorBidi" w:hAnsiTheme="majorBidi" w:cstheme="majorBidi"/>
          <w:sz w:val="24"/>
          <w:szCs w:val="24"/>
          <w:lang w:val="fr-FR" w:eastAsia="fr-FR"/>
        </w:rPr>
        <w:t>Les interactions spécifiques à l'origine de la miscibilité ont d'abord été mises en évidence qualitativement puis, quantifiées par la spectroscopie Infrarouge à Transformée de Fourier (FTIR)</w:t>
      </w:r>
      <w:r w:rsidR="00932DB0" w:rsidRPr="00932DB0">
        <w:rPr>
          <w:rStyle w:val="FontStyle12"/>
          <w:rFonts w:asciiTheme="majorBidi" w:hAnsiTheme="majorBidi" w:cstheme="majorBidi"/>
          <w:sz w:val="24"/>
          <w:szCs w:val="24"/>
          <w:vertAlign w:val="superscript"/>
          <w:lang w:val="fr-FR" w:eastAsia="fr-FR"/>
        </w:rPr>
        <w:t xml:space="preserve"> [</w:t>
      </w:r>
      <w:r w:rsidRPr="00932DB0">
        <w:rPr>
          <w:rStyle w:val="FontStyle12"/>
          <w:rFonts w:asciiTheme="majorBidi" w:hAnsiTheme="majorBidi" w:cstheme="majorBidi"/>
          <w:sz w:val="24"/>
          <w:szCs w:val="24"/>
          <w:vertAlign w:val="superscript"/>
          <w:lang w:val="fr-FR" w:eastAsia="fr-FR"/>
        </w:rPr>
        <w:t>68</w:t>
      </w:r>
      <w:r w:rsidRPr="00932DB0">
        <w:rPr>
          <w:rStyle w:val="FontStyle12"/>
          <w:rFonts w:asciiTheme="majorBidi" w:hAnsiTheme="majorBidi" w:cstheme="majorBidi"/>
          <w:sz w:val="24"/>
          <w:szCs w:val="24"/>
          <w:lang w:val="fr-FR" w:eastAsia="fr-FR"/>
        </w:rPr>
        <w:t>"</w:t>
      </w:r>
      <w:r w:rsidRPr="00932DB0">
        <w:rPr>
          <w:rStyle w:val="FontStyle12"/>
          <w:rFonts w:asciiTheme="majorBidi" w:hAnsiTheme="majorBidi" w:cstheme="majorBidi"/>
          <w:sz w:val="24"/>
          <w:szCs w:val="24"/>
          <w:vertAlign w:val="superscript"/>
          <w:lang w:val="fr-FR" w:eastAsia="fr-FR"/>
        </w:rPr>
        <w:t>73</w:t>
      </w:r>
      <w:r w:rsidR="00932DB0" w:rsidRPr="00932DB0">
        <w:rPr>
          <w:rStyle w:val="FontStyle12"/>
          <w:rFonts w:asciiTheme="majorBidi" w:hAnsiTheme="majorBidi" w:cstheme="majorBidi"/>
          <w:sz w:val="24"/>
          <w:szCs w:val="24"/>
          <w:vertAlign w:val="superscript"/>
          <w:lang w:val="fr-FR" w:eastAsia="fr-FR"/>
        </w:rPr>
        <w:t>]</w:t>
      </w:r>
    </w:p>
    <w:sectPr w:rsidR="001169AB" w:rsidRPr="00932DB0" w:rsidSect="00C96621">
      <w:footerReference w:type="default" r:id="rId6"/>
      <w:type w:val="continuous"/>
      <w:pgSz w:w="11905" w:h="16837"/>
      <w:pgMar w:top="942" w:right="1579" w:bottom="1440" w:left="859" w:header="720" w:footer="720" w:gutter="0"/>
      <w:cols w:space="6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6065B" w:rsidRDefault="0066065B">
      <w:r>
        <w:separator/>
      </w:r>
    </w:p>
  </w:endnote>
  <w:endnote w:type="continuationSeparator" w:id="1">
    <w:p w:rsidR="0066065B" w:rsidRDefault="0066065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haroni">
    <w:panose1 w:val="02010803020104030203"/>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6621" w:rsidRDefault="00DB2DA8">
    <w:pPr>
      <w:pStyle w:val="Style3"/>
      <w:widowControl/>
      <w:ind w:left="4728"/>
      <w:jc w:val="both"/>
      <w:rPr>
        <w:rStyle w:val="FontStyle13"/>
        <w:lang w:val="fr-FR" w:eastAsia="fr-FR"/>
      </w:rPr>
    </w:pPr>
    <w:r>
      <w:rPr>
        <w:rStyle w:val="FontStyle13"/>
        <w:lang w:val="fr-FR" w:eastAsia="fr-FR"/>
      </w:rPr>
      <w:t>2</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6065B" w:rsidRDefault="0066065B">
      <w:r>
        <w:separator/>
      </w:r>
    </w:p>
  </w:footnote>
  <w:footnote w:type="continuationSeparator" w:id="1">
    <w:p w:rsidR="0066065B" w:rsidRDefault="0066065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adjustLineHeightInTable/>
    <w:useFELayout/>
  </w:compat>
  <w:rsids>
    <w:rsidRoot w:val="001169AB"/>
    <w:rsid w:val="001169AB"/>
    <w:rsid w:val="0066065B"/>
    <w:rsid w:val="007A6D2D"/>
    <w:rsid w:val="00932DB0"/>
    <w:rsid w:val="00C96621"/>
    <w:rsid w:val="00DB2DA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6621"/>
    <w:pPr>
      <w:widowControl w:val="0"/>
      <w:autoSpaceDE w:val="0"/>
      <w:autoSpaceDN w:val="0"/>
      <w:adjustRightInd w:val="0"/>
      <w:spacing w:after="0" w:line="240" w:lineRule="auto"/>
    </w:pPr>
    <w:rPr>
      <w:rFonts w:hAnsi="Times New Roman" w:cs="Times New Roman"/>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yle1">
    <w:name w:val="Style1"/>
    <w:basedOn w:val="Normal"/>
    <w:uiPriority w:val="99"/>
    <w:rsid w:val="00C96621"/>
    <w:pPr>
      <w:spacing w:line="408" w:lineRule="exact"/>
      <w:ind w:firstLine="221"/>
      <w:jc w:val="both"/>
    </w:pPr>
  </w:style>
  <w:style w:type="paragraph" w:customStyle="1" w:styleId="Style2">
    <w:name w:val="Style2"/>
    <w:basedOn w:val="Normal"/>
    <w:uiPriority w:val="99"/>
    <w:rsid w:val="00C96621"/>
    <w:pPr>
      <w:spacing w:line="412" w:lineRule="exact"/>
      <w:ind w:firstLine="706"/>
      <w:jc w:val="both"/>
    </w:pPr>
  </w:style>
  <w:style w:type="paragraph" w:customStyle="1" w:styleId="Style3">
    <w:name w:val="Style3"/>
    <w:basedOn w:val="Normal"/>
    <w:uiPriority w:val="99"/>
    <w:rsid w:val="00C96621"/>
  </w:style>
  <w:style w:type="character" w:customStyle="1" w:styleId="FontStyle11">
    <w:name w:val="Font Style11"/>
    <w:basedOn w:val="Policepardfaut"/>
    <w:uiPriority w:val="99"/>
    <w:rsid w:val="00C96621"/>
    <w:rPr>
      <w:rFonts w:ascii="Aharoni" w:cs="Aharoni"/>
      <w:sz w:val="22"/>
      <w:szCs w:val="22"/>
      <w:lang w:bidi="ar-SA"/>
    </w:rPr>
  </w:style>
  <w:style w:type="character" w:customStyle="1" w:styleId="FontStyle12">
    <w:name w:val="Font Style12"/>
    <w:basedOn w:val="Policepardfaut"/>
    <w:uiPriority w:val="99"/>
    <w:rsid w:val="00C96621"/>
    <w:rPr>
      <w:rFonts w:ascii="Times New Roman" w:hAnsi="Times New Roman" w:cs="Times New Roman"/>
      <w:sz w:val="26"/>
      <w:szCs w:val="26"/>
      <w:lang w:bidi="ar-SA"/>
    </w:rPr>
  </w:style>
  <w:style w:type="character" w:customStyle="1" w:styleId="FontStyle13">
    <w:name w:val="Font Style13"/>
    <w:basedOn w:val="Policepardfaut"/>
    <w:uiPriority w:val="99"/>
    <w:rsid w:val="00C96621"/>
    <w:rPr>
      <w:rFonts w:ascii="Cambria" w:hAnsi="Cambria" w:cs="Cambria"/>
      <w:sz w:val="16"/>
      <w:szCs w:val="16"/>
      <w:lang w:bidi="ar-SA"/>
    </w:rPr>
  </w:style>
  <w:style w:type="character" w:styleId="Lienhypertexte">
    <w:name w:val="Hyperlink"/>
    <w:basedOn w:val="Policepardfaut"/>
    <w:uiPriority w:val="99"/>
    <w:rsid w:val="00C96621"/>
    <w:rPr>
      <w:color w:val="0066CC"/>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314</Words>
  <Characters>1796</Characters>
  <Application>Microsoft Office Word</Application>
  <DocSecurity>0</DocSecurity>
  <Lines>14</Lines>
  <Paragraphs>4</Paragraphs>
  <ScaleCrop>false</ScaleCrop>
  <Company/>
  <LinksUpToDate>false</LinksUpToDate>
  <CharactersWithSpaces>2106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5</cp:revision>
  <dcterms:created xsi:type="dcterms:W3CDTF">2017-01-18T14:05:00Z</dcterms:created>
  <dcterms:modified xsi:type="dcterms:W3CDTF">2017-01-19T11:14:00Z</dcterms:modified>
</cp:coreProperties>
</file>