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171B" w:rsidRPr="00992FF4" w:rsidRDefault="007D171B" w:rsidP="007D171B">
      <w:pPr>
        <w:widowControl w:val="0"/>
        <w:autoSpaceDE w:val="0"/>
        <w:autoSpaceDN w:val="0"/>
        <w:adjustRightInd w:val="0"/>
        <w:jc w:val="center"/>
        <w:rPr>
          <w:rFonts w:ascii="Andalus" w:hAnsi="Andalus" w:cs="Andalus"/>
          <w:b/>
          <w:i/>
          <w:iCs/>
          <w:sz w:val="22"/>
          <w:szCs w:val="22"/>
        </w:rPr>
      </w:pPr>
      <w:r w:rsidRPr="00992FF4">
        <w:rPr>
          <w:rFonts w:ascii="Andalus" w:hAnsi="Andalus" w:cs="Andalus"/>
          <w:b/>
          <w:i/>
          <w:iCs/>
          <w:sz w:val="22"/>
          <w:szCs w:val="22"/>
        </w:rPr>
        <w:t>RESUME</w:t>
      </w:r>
    </w:p>
    <w:p w:rsidR="007D171B" w:rsidRPr="00992FF4" w:rsidRDefault="007D171B" w:rsidP="007D171B">
      <w:pPr>
        <w:widowControl w:val="0"/>
        <w:autoSpaceDE w:val="0"/>
        <w:autoSpaceDN w:val="0"/>
        <w:adjustRightInd w:val="0"/>
        <w:jc w:val="both"/>
        <w:rPr>
          <w:color w:val="000000"/>
          <w:sz w:val="22"/>
          <w:szCs w:val="22"/>
        </w:rPr>
      </w:pPr>
    </w:p>
    <w:p w:rsidR="007D171B" w:rsidRPr="00992FF4" w:rsidRDefault="007D171B" w:rsidP="007D171B">
      <w:pPr>
        <w:widowControl w:val="0"/>
        <w:autoSpaceDE w:val="0"/>
        <w:autoSpaceDN w:val="0"/>
        <w:adjustRightInd w:val="0"/>
        <w:jc w:val="both"/>
        <w:rPr>
          <w:sz w:val="22"/>
          <w:szCs w:val="22"/>
        </w:rPr>
      </w:pPr>
      <w:r w:rsidRPr="00992FF4">
        <w:rPr>
          <w:color w:val="000000"/>
          <w:sz w:val="22"/>
          <w:szCs w:val="22"/>
        </w:rPr>
        <w:t xml:space="preserve">L’hydatidose causée par la forme larvaire du </w:t>
      </w:r>
      <w:proofErr w:type="spellStart"/>
      <w:r w:rsidRPr="00992FF4">
        <w:rPr>
          <w:color w:val="000000"/>
          <w:sz w:val="22"/>
          <w:szCs w:val="22"/>
        </w:rPr>
        <w:t>taenia</w:t>
      </w:r>
      <w:proofErr w:type="spellEnd"/>
      <w:r w:rsidRPr="00992FF4">
        <w:rPr>
          <w:color w:val="000000"/>
          <w:sz w:val="22"/>
          <w:szCs w:val="22"/>
        </w:rPr>
        <w:t xml:space="preserve"> </w:t>
      </w:r>
      <w:r w:rsidRPr="00992FF4">
        <w:rPr>
          <w:i/>
          <w:iCs/>
          <w:color w:val="000000"/>
          <w:sz w:val="22"/>
          <w:szCs w:val="22"/>
        </w:rPr>
        <w:t xml:space="preserve">Echinococcus granulosus </w:t>
      </w:r>
      <w:r w:rsidRPr="00992FF4">
        <w:rPr>
          <w:color w:val="000000"/>
          <w:sz w:val="22"/>
          <w:szCs w:val="22"/>
        </w:rPr>
        <w:t>est endémique et contraint à un traitement lourd essentiellement chirurgical. La survie du parasite est essentiellement due à la présence de la couche externe du kyste hydatique : la membrane lamellaire (ML). Cette dernière constitue une barrière physique efficace vis à vis de la réponse immunitaire de l’hôte.</w:t>
      </w:r>
    </w:p>
    <w:p w:rsidR="007D171B" w:rsidRPr="00992FF4" w:rsidRDefault="007D171B" w:rsidP="007D171B">
      <w:pPr>
        <w:jc w:val="both"/>
        <w:rPr>
          <w:sz w:val="22"/>
          <w:szCs w:val="22"/>
        </w:rPr>
      </w:pPr>
    </w:p>
    <w:p w:rsidR="007D171B" w:rsidRPr="00992FF4" w:rsidRDefault="007D171B" w:rsidP="007D171B">
      <w:pPr>
        <w:jc w:val="both"/>
        <w:rPr>
          <w:sz w:val="22"/>
          <w:szCs w:val="22"/>
        </w:rPr>
      </w:pPr>
      <w:r w:rsidRPr="00992FF4">
        <w:rPr>
          <w:sz w:val="22"/>
          <w:szCs w:val="22"/>
        </w:rPr>
        <w:t xml:space="preserve">De nombreux travaux ont été mis en œuvre afin de rechercher de nouvelles options thérapeutiques de l’hydatidose humaine. Nous avons contribué en ce sens, en recherchant </w:t>
      </w:r>
      <w:r w:rsidRPr="00992FF4">
        <w:rPr>
          <w:i/>
          <w:iCs/>
          <w:color w:val="000000"/>
          <w:sz w:val="22"/>
          <w:szCs w:val="22"/>
        </w:rPr>
        <w:t xml:space="preserve">in vitro </w:t>
      </w:r>
      <w:r w:rsidRPr="00992FF4">
        <w:rPr>
          <w:color w:val="000000"/>
          <w:sz w:val="22"/>
          <w:szCs w:val="22"/>
        </w:rPr>
        <w:t xml:space="preserve">l’effet </w:t>
      </w:r>
      <w:proofErr w:type="spellStart"/>
      <w:r w:rsidRPr="00992FF4">
        <w:rPr>
          <w:color w:val="000000"/>
          <w:sz w:val="22"/>
          <w:szCs w:val="22"/>
        </w:rPr>
        <w:t>anti-parasitaire</w:t>
      </w:r>
      <w:proofErr w:type="spellEnd"/>
      <w:r w:rsidRPr="00992FF4">
        <w:rPr>
          <w:color w:val="000000"/>
          <w:sz w:val="22"/>
          <w:szCs w:val="22"/>
        </w:rPr>
        <w:t xml:space="preserve"> ou proparasitaire des cytokines marqueurs des voies Th1, Th17, Th2 et Treg (respectivement </w:t>
      </w:r>
      <w:r w:rsidRPr="00992FF4">
        <w:rPr>
          <w:sz w:val="22"/>
          <w:szCs w:val="22"/>
        </w:rPr>
        <w:t>IFN-γ, IL-17A, IL-4 et IL-10)</w:t>
      </w:r>
      <w:r w:rsidRPr="00992FF4">
        <w:rPr>
          <w:color w:val="000000"/>
          <w:sz w:val="22"/>
          <w:szCs w:val="22"/>
        </w:rPr>
        <w:t xml:space="preserve">. </w:t>
      </w:r>
      <w:r w:rsidRPr="00992FF4">
        <w:rPr>
          <w:sz w:val="22"/>
          <w:szCs w:val="22"/>
        </w:rPr>
        <w:t xml:space="preserve">Des systèmes de cocultures de protoscolex (PSC) et de PBMC de sujets hydatiques et sains ont été mis en place en présence de ces différentes cytokines et de cofacteurs ou d’inhibiteurs spécifiques de la voie des NOS. Un dosage du monoxyde d’azote a été réalisé dans chaque cas, en relation avec l’évolution de l’état des PSC. </w:t>
      </w:r>
      <w:r w:rsidRPr="00992FF4">
        <w:rPr>
          <w:color w:val="000000"/>
          <w:sz w:val="22"/>
          <w:szCs w:val="22"/>
        </w:rPr>
        <w:t xml:space="preserve">Les résultats obtenus ont mis en évidence </w:t>
      </w:r>
      <w:r w:rsidRPr="00992FF4">
        <w:rPr>
          <w:sz w:val="22"/>
          <w:szCs w:val="22"/>
        </w:rPr>
        <w:t xml:space="preserve">un effet anti-hydatique de l'IFN-γ (Amri et </w:t>
      </w:r>
      <w:proofErr w:type="gramStart"/>
      <w:r w:rsidRPr="00992FF4">
        <w:rPr>
          <w:i/>
          <w:iCs/>
          <w:sz w:val="22"/>
          <w:szCs w:val="22"/>
        </w:rPr>
        <w:t>al</w:t>
      </w:r>
      <w:r w:rsidRPr="00992FF4">
        <w:rPr>
          <w:sz w:val="22"/>
          <w:szCs w:val="22"/>
        </w:rPr>
        <w:t>.,</w:t>
      </w:r>
      <w:proofErr w:type="gramEnd"/>
      <w:r w:rsidRPr="00992FF4">
        <w:rPr>
          <w:sz w:val="22"/>
          <w:szCs w:val="22"/>
        </w:rPr>
        <w:t xml:space="preserve"> 2007a) et de l'IL-17A, exercé à travers l'induction de la NOS2. Parallèlement, l’IL-4 et l'IL-10 seraient impliquées dans un effet </w:t>
      </w:r>
      <w:proofErr w:type="spellStart"/>
      <w:r w:rsidRPr="00992FF4">
        <w:rPr>
          <w:sz w:val="22"/>
          <w:szCs w:val="22"/>
        </w:rPr>
        <w:t>pro-parasitaire</w:t>
      </w:r>
      <w:proofErr w:type="spellEnd"/>
      <w:r w:rsidRPr="00992FF4">
        <w:rPr>
          <w:sz w:val="22"/>
          <w:szCs w:val="22"/>
        </w:rPr>
        <w:t xml:space="preserve"> via l’inhibition de la production du NO (Amri et </w:t>
      </w:r>
      <w:proofErr w:type="gramStart"/>
      <w:r w:rsidRPr="00992FF4">
        <w:rPr>
          <w:i/>
          <w:iCs/>
          <w:sz w:val="22"/>
          <w:szCs w:val="22"/>
        </w:rPr>
        <w:t>al</w:t>
      </w:r>
      <w:r w:rsidRPr="00992FF4">
        <w:rPr>
          <w:sz w:val="22"/>
          <w:szCs w:val="22"/>
        </w:rPr>
        <w:t>.,</w:t>
      </w:r>
      <w:proofErr w:type="gramEnd"/>
      <w:r w:rsidRPr="00992FF4">
        <w:rPr>
          <w:sz w:val="22"/>
          <w:szCs w:val="22"/>
        </w:rPr>
        <w:t xml:space="preserve"> 2009a). Nos résultats  ouvrent des perspectives quant au choix d’une biomolécule efficace dans la thérapie anti-hydatique.</w:t>
      </w:r>
    </w:p>
    <w:p w:rsidR="007D171B" w:rsidRPr="00992FF4" w:rsidRDefault="007D171B" w:rsidP="007D171B">
      <w:pPr>
        <w:autoSpaceDE w:val="0"/>
        <w:autoSpaceDN w:val="0"/>
        <w:adjustRightInd w:val="0"/>
        <w:jc w:val="both"/>
        <w:rPr>
          <w:rFonts w:eastAsia="Calibri"/>
          <w:sz w:val="22"/>
          <w:szCs w:val="22"/>
        </w:rPr>
      </w:pPr>
    </w:p>
    <w:p w:rsidR="007D171B" w:rsidRPr="00992FF4" w:rsidRDefault="007D171B" w:rsidP="007D171B">
      <w:pPr>
        <w:jc w:val="both"/>
        <w:rPr>
          <w:sz w:val="22"/>
          <w:szCs w:val="22"/>
        </w:rPr>
      </w:pPr>
      <w:r w:rsidRPr="00992FF4">
        <w:rPr>
          <w:rFonts w:eastAsia="Calibri"/>
          <w:sz w:val="22"/>
          <w:szCs w:val="22"/>
        </w:rPr>
        <w:t>Ces mécanismes immunitaires de l’hôte impliquent des séries très complexes d’interactions entre le système immunitaire de l'hôte et le parasite.</w:t>
      </w:r>
      <w:r w:rsidRPr="00992FF4">
        <w:rPr>
          <w:sz w:val="22"/>
          <w:szCs w:val="22"/>
        </w:rPr>
        <w:t xml:space="preserve"> </w:t>
      </w:r>
      <w:r w:rsidRPr="00992FF4">
        <w:rPr>
          <w:color w:val="000000"/>
          <w:sz w:val="22"/>
          <w:szCs w:val="22"/>
        </w:rPr>
        <w:t xml:space="preserve">Nous nous sommes donc intéressés à évaluer l'effet des différentes parties de l'hydatide sur la balance cytokinique et la balance NOS2/Arginase. </w:t>
      </w:r>
      <w:r w:rsidRPr="00992FF4">
        <w:rPr>
          <w:sz w:val="22"/>
          <w:szCs w:val="22"/>
        </w:rPr>
        <w:t xml:space="preserve">Cette dernière a été évaluée par la mesure de la production du NO et de l'urée et l'expression des </w:t>
      </w:r>
      <w:proofErr w:type="spellStart"/>
      <w:r w:rsidRPr="00992FF4">
        <w:rPr>
          <w:sz w:val="22"/>
          <w:szCs w:val="22"/>
        </w:rPr>
        <w:t>ARNm</w:t>
      </w:r>
      <w:proofErr w:type="spellEnd"/>
      <w:r w:rsidRPr="00992FF4">
        <w:rPr>
          <w:sz w:val="22"/>
          <w:szCs w:val="22"/>
        </w:rPr>
        <w:t xml:space="preserve"> des deux enzymes par RT-PCR en temps réel.</w:t>
      </w:r>
      <w:r w:rsidRPr="00992FF4">
        <w:rPr>
          <w:color w:val="000000"/>
          <w:sz w:val="22"/>
          <w:szCs w:val="22"/>
        </w:rPr>
        <w:t xml:space="preserve"> </w:t>
      </w:r>
      <w:r w:rsidRPr="00992FF4">
        <w:rPr>
          <w:sz w:val="22"/>
          <w:szCs w:val="22"/>
        </w:rPr>
        <w:t xml:space="preserve">D'après les résultats obtenus, il semblerait que les différents constituants de l'hydatide à l'exception de la couche acellulaire (la membrane lamellaire) </w:t>
      </w:r>
      <w:proofErr w:type="spellStart"/>
      <w:r w:rsidRPr="00992FF4">
        <w:rPr>
          <w:sz w:val="22"/>
          <w:szCs w:val="22"/>
        </w:rPr>
        <w:t>co</w:t>
      </w:r>
      <w:proofErr w:type="spellEnd"/>
      <w:r w:rsidRPr="00992FF4">
        <w:rPr>
          <w:sz w:val="22"/>
          <w:szCs w:val="22"/>
        </w:rPr>
        <w:t xml:space="preserve">-stimulent les deux voies NOS2/Arginase. Cette dualité fonctionnelle aurait pour origine la présence d'aux moins trois glycoprotéines antigéniques F5, P50 et F4 (de 68, 50 et 8 </w:t>
      </w:r>
      <w:proofErr w:type="spellStart"/>
      <w:r w:rsidRPr="00992FF4">
        <w:rPr>
          <w:sz w:val="22"/>
          <w:szCs w:val="22"/>
        </w:rPr>
        <w:t>kDa</w:t>
      </w:r>
      <w:proofErr w:type="spellEnd"/>
      <w:r w:rsidRPr="00992FF4">
        <w:rPr>
          <w:sz w:val="22"/>
          <w:szCs w:val="22"/>
        </w:rPr>
        <w:t xml:space="preserve"> respectivement). Les fractions F5 et P50 stimuleraient préférentiellement la NOS2 au dépend de l'Arginase. La F4  agirait en faveur de l'induction de l'Arginase. Par ailleurs, la membrane lamellaire semble être impliquée dans l'inhibition accrue des voies protectrices Th1/NOS2 et l’activation des voies </w:t>
      </w:r>
      <w:proofErr w:type="spellStart"/>
      <w:r w:rsidRPr="00992FF4">
        <w:rPr>
          <w:sz w:val="22"/>
          <w:szCs w:val="22"/>
        </w:rPr>
        <w:t>proparasitaires</w:t>
      </w:r>
      <w:proofErr w:type="spellEnd"/>
      <w:r w:rsidRPr="00992FF4">
        <w:rPr>
          <w:sz w:val="22"/>
          <w:szCs w:val="22"/>
        </w:rPr>
        <w:t xml:space="preserve"> Treg/Arginase. Elle agirait également via une activation </w:t>
      </w:r>
      <w:proofErr w:type="spellStart"/>
      <w:r w:rsidRPr="00992FF4">
        <w:rPr>
          <w:sz w:val="22"/>
          <w:szCs w:val="22"/>
        </w:rPr>
        <w:t>macrophagique</w:t>
      </w:r>
      <w:proofErr w:type="spellEnd"/>
      <w:r w:rsidRPr="00992FF4">
        <w:rPr>
          <w:sz w:val="22"/>
          <w:szCs w:val="22"/>
        </w:rPr>
        <w:t xml:space="preserve"> de type alternatif. Ces cellules de phénotype M2 exprimeraient fortement l'Arginase, le CD14, le TLR2, le récepteur mannose, le TGF-</w:t>
      </w:r>
      <w:r w:rsidRPr="00992FF4">
        <w:rPr>
          <w:rFonts w:eastAsiaTheme="minorHAnsi"/>
          <w:sz w:val="22"/>
          <w:szCs w:val="22"/>
          <w:lang w:val="en-US" w:eastAsia="en-US"/>
        </w:rPr>
        <w:t>β</w:t>
      </w:r>
      <w:r w:rsidRPr="00992FF4">
        <w:rPr>
          <w:rFonts w:eastAsiaTheme="minorHAnsi"/>
          <w:sz w:val="22"/>
          <w:szCs w:val="22"/>
          <w:lang w:eastAsia="en-US"/>
        </w:rPr>
        <w:t xml:space="preserve"> et le </w:t>
      </w:r>
      <w:proofErr w:type="spellStart"/>
      <w:r w:rsidRPr="00992FF4">
        <w:rPr>
          <w:rFonts w:eastAsiaTheme="minorHAnsi"/>
          <w:sz w:val="22"/>
          <w:szCs w:val="22"/>
          <w:lang w:eastAsia="en-US"/>
        </w:rPr>
        <w:t>PPAR</w:t>
      </w:r>
      <w:r w:rsidRPr="00992FF4">
        <w:rPr>
          <w:sz w:val="22"/>
          <w:szCs w:val="22"/>
        </w:rPr>
        <w:t>γ</w:t>
      </w:r>
      <w:proofErr w:type="spellEnd"/>
      <w:r w:rsidRPr="00992FF4">
        <w:rPr>
          <w:sz w:val="22"/>
          <w:szCs w:val="22"/>
        </w:rPr>
        <w:t xml:space="preserve">. L’ensemble de nos résultats suggère que la couche lamellaire joue un rôle essentiel dans les mécanismes d’échappement mis en jeu par le parasite. L'inhibition de cette voie pourrait être très utile dans l'établissement d'une thérapie anti-hydatique. </w:t>
      </w:r>
    </w:p>
    <w:p w:rsidR="007D171B" w:rsidRPr="00992FF4" w:rsidRDefault="007D171B" w:rsidP="007D171B">
      <w:pPr>
        <w:autoSpaceDE w:val="0"/>
        <w:autoSpaceDN w:val="0"/>
        <w:adjustRightInd w:val="0"/>
        <w:jc w:val="both"/>
        <w:rPr>
          <w:sz w:val="22"/>
          <w:szCs w:val="22"/>
        </w:rPr>
      </w:pPr>
    </w:p>
    <w:p w:rsidR="007D171B" w:rsidRDefault="007D171B" w:rsidP="007D171B">
      <w:pPr>
        <w:jc w:val="both"/>
        <w:rPr>
          <w:sz w:val="22"/>
          <w:szCs w:val="22"/>
          <w:lang w:bidi="ar-DZ"/>
        </w:rPr>
      </w:pPr>
      <w:r w:rsidRPr="00992FF4">
        <w:rPr>
          <w:sz w:val="22"/>
          <w:szCs w:val="22"/>
        </w:rPr>
        <w:t xml:space="preserve">Dans la dernière partie de notre travail, nous avons souhaité étayer une hypothèse suggérant une production parasitaire du NO, sur la base de travaux réalisés au sein de notre équipe mettant en  évidence, la présence de NO dans le liquide hydatique (Amri, 2005 ; Ait </w:t>
      </w:r>
      <w:proofErr w:type="spellStart"/>
      <w:r w:rsidRPr="00992FF4">
        <w:rPr>
          <w:sz w:val="22"/>
          <w:szCs w:val="22"/>
        </w:rPr>
        <w:t>Aissa</w:t>
      </w:r>
      <w:proofErr w:type="spellEnd"/>
      <w:r w:rsidRPr="00992FF4">
        <w:rPr>
          <w:sz w:val="22"/>
          <w:szCs w:val="22"/>
        </w:rPr>
        <w:t xml:space="preserve"> et </w:t>
      </w:r>
      <w:proofErr w:type="gramStart"/>
      <w:r w:rsidRPr="00992FF4">
        <w:rPr>
          <w:i/>
          <w:sz w:val="22"/>
          <w:szCs w:val="22"/>
        </w:rPr>
        <w:t>al.,</w:t>
      </w:r>
      <w:proofErr w:type="gramEnd"/>
      <w:r w:rsidRPr="00992FF4">
        <w:rPr>
          <w:i/>
          <w:sz w:val="22"/>
          <w:szCs w:val="22"/>
        </w:rPr>
        <w:t xml:space="preserve"> </w:t>
      </w:r>
      <w:r w:rsidRPr="00992FF4">
        <w:rPr>
          <w:iCs/>
          <w:sz w:val="22"/>
          <w:szCs w:val="22"/>
        </w:rPr>
        <w:t>2006).</w:t>
      </w:r>
      <w:r w:rsidRPr="00992FF4">
        <w:rPr>
          <w:color w:val="FF0000"/>
          <w:sz w:val="22"/>
          <w:szCs w:val="22"/>
        </w:rPr>
        <w:t xml:space="preserve"> </w:t>
      </w:r>
      <w:r w:rsidRPr="00992FF4">
        <w:rPr>
          <w:sz w:val="22"/>
          <w:szCs w:val="22"/>
        </w:rPr>
        <w:t xml:space="preserve">Afin d'étayer cette hypothèse, nous nous sommes intéressés à rechercher la présence d'une NOS au niveau du parasite lui-même. Dans ce sens, des dosages de NO, parallèlement à un test </w:t>
      </w:r>
      <w:proofErr w:type="spellStart"/>
      <w:r w:rsidRPr="00992FF4">
        <w:rPr>
          <w:sz w:val="22"/>
          <w:szCs w:val="22"/>
        </w:rPr>
        <w:t>immunocytochimique</w:t>
      </w:r>
      <w:proofErr w:type="spellEnd"/>
      <w:r w:rsidRPr="00992FF4">
        <w:rPr>
          <w:sz w:val="22"/>
          <w:szCs w:val="22"/>
        </w:rPr>
        <w:t xml:space="preserve"> utilisant un anticorps anti-NOS universelle, ont été réalisés sur des cultures de PSC et de membrane en présence des différents effecteurs inducteurs de la NOS2.</w:t>
      </w:r>
      <w:r w:rsidRPr="00992FF4">
        <w:rPr>
          <w:b/>
          <w:bCs/>
          <w:i/>
          <w:iCs/>
          <w:sz w:val="22"/>
          <w:szCs w:val="22"/>
        </w:rPr>
        <w:t xml:space="preserve"> </w:t>
      </w:r>
      <w:r w:rsidRPr="00992FF4">
        <w:rPr>
          <w:sz w:val="22"/>
          <w:szCs w:val="22"/>
        </w:rPr>
        <w:t>L’ensemble des résultats obtenus suggèrent l’existence à la fois d’une NOS parasitaire constitutive et inductible au niveau de la membrane germinative et des PSC. Ces deux enzymes auraient des effets différents sur le parasite. La NOS constitutive aurait une activité physiologique parasitaire.</w:t>
      </w:r>
      <w:r w:rsidRPr="00992FF4">
        <w:rPr>
          <w:color w:val="000000"/>
          <w:sz w:val="22"/>
          <w:szCs w:val="22"/>
        </w:rPr>
        <w:t xml:space="preserve"> A l'inverse, </w:t>
      </w:r>
      <w:r w:rsidRPr="00992FF4">
        <w:rPr>
          <w:sz w:val="22"/>
          <w:szCs w:val="22"/>
        </w:rPr>
        <w:t xml:space="preserve">la NOS inductible produirait, sous le contrôle régulateur positif des cytokines Th1/Th17, de fortes concentrations de NO. Ce dernier aurait un effet </w:t>
      </w:r>
      <w:proofErr w:type="spellStart"/>
      <w:r w:rsidRPr="00992FF4">
        <w:rPr>
          <w:sz w:val="22"/>
          <w:szCs w:val="22"/>
        </w:rPr>
        <w:t>scolicide</w:t>
      </w:r>
      <w:proofErr w:type="spellEnd"/>
      <w:r w:rsidRPr="00992FF4">
        <w:rPr>
          <w:sz w:val="22"/>
          <w:szCs w:val="22"/>
        </w:rPr>
        <w:t xml:space="preserve"> </w:t>
      </w:r>
      <w:r w:rsidRPr="00992FF4">
        <w:rPr>
          <w:i/>
          <w:iCs/>
          <w:sz w:val="22"/>
          <w:szCs w:val="22"/>
        </w:rPr>
        <w:t>in vitro</w:t>
      </w:r>
      <w:r w:rsidRPr="00992FF4">
        <w:rPr>
          <w:sz w:val="22"/>
          <w:szCs w:val="22"/>
        </w:rPr>
        <w:t xml:space="preserve">. </w:t>
      </w:r>
      <w:r w:rsidRPr="00992FF4">
        <w:rPr>
          <w:color w:val="000000"/>
          <w:sz w:val="22"/>
          <w:szCs w:val="22"/>
        </w:rPr>
        <w:t xml:space="preserve">Selon nos résultats, l'expression de cette NOS inductible parasitaire serait inhibée fortement par la membrane lamellaire. </w:t>
      </w:r>
      <w:r w:rsidRPr="00992FF4">
        <w:rPr>
          <w:sz w:val="22"/>
          <w:szCs w:val="22"/>
        </w:rPr>
        <w:t>Ce résultat est un argument supplémentaire en faveur de l’instauration d’un mécanisme d’échappement et de protection du parasite impliquant la membrane lamellaire.</w:t>
      </w:r>
    </w:p>
    <w:p w:rsidR="007D171B" w:rsidRDefault="007D171B" w:rsidP="007D171B">
      <w:pPr>
        <w:jc w:val="both"/>
        <w:rPr>
          <w:sz w:val="22"/>
          <w:szCs w:val="22"/>
          <w:lang w:bidi="ar-DZ"/>
        </w:rPr>
      </w:pPr>
    </w:p>
    <w:p w:rsidR="007D171B" w:rsidRDefault="007D171B" w:rsidP="007D171B">
      <w:pPr>
        <w:jc w:val="both"/>
        <w:rPr>
          <w:sz w:val="22"/>
          <w:szCs w:val="22"/>
          <w:lang w:bidi="ar-DZ"/>
        </w:rPr>
      </w:pPr>
    </w:p>
    <w:p w:rsidR="007D171B" w:rsidRDefault="007D171B" w:rsidP="007D171B">
      <w:pPr>
        <w:jc w:val="both"/>
        <w:rPr>
          <w:sz w:val="22"/>
          <w:szCs w:val="22"/>
          <w:lang w:bidi="ar-DZ"/>
        </w:rPr>
      </w:pPr>
    </w:p>
    <w:p w:rsidR="007D171B" w:rsidRDefault="007D171B" w:rsidP="007D171B">
      <w:pPr>
        <w:jc w:val="both"/>
        <w:rPr>
          <w:sz w:val="22"/>
          <w:szCs w:val="22"/>
          <w:lang w:bidi="ar-DZ"/>
        </w:rPr>
      </w:pPr>
    </w:p>
    <w:sectPr w:rsidR="007D171B" w:rsidSect="00865B98">
      <w:pgSz w:w="11906" w:h="16838"/>
      <w:pgMar w:top="1417" w:right="1417" w:bottom="1417" w:left="1417"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compat/>
  <w:rsids>
    <w:rsidRoot w:val="007D171B"/>
    <w:rsid w:val="00696E23"/>
    <w:rsid w:val="0070002D"/>
    <w:rsid w:val="007D171B"/>
    <w:rsid w:val="00865B98"/>
    <w:rsid w:val="00CD4EB5"/>
    <w:rsid w:val="00D210E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71B"/>
    <w:pPr>
      <w:spacing w:after="0" w:line="240" w:lineRule="auto"/>
    </w:pPr>
    <w:rPr>
      <w:rFonts w:ascii="Times New Roman" w:eastAsia="Times New Roman" w:hAnsi="Times New Roman"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7D171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684</Words>
  <Characters>3765</Characters>
  <Application>Microsoft Office Word</Application>
  <DocSecurity>0</DocSecurity>
  <Lines>31</Lines>
  <Paragraphs>8</Paragraphs>
  <ScaleCrop>false</ScaleCrop>
  <Company/>
  <LinksUpToDate>false</LinksUpToDate>
  <CharactersWithSpaces>4441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manel</dc:creator>
  <cp:lastModifiedBy>manel</cp:lastModifiedBy>
  <cp:revision>2</cp:revision>
  <dcterms:created xsi:type="dcterms:W3CDTF">2012-06-24T23:09:00Z</dcterms:created>
  <dcterms:modified xsi:type="dcterms:W3CDTF">2012-06-24T23:46:00Z</dcterms:modified>
</cp:coreProperties>
</file>