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337EB" w:rsidRPr="00960E75" w:rsidRDefault="00C337EB" w:rsidP="00960E75">
      <w:pPr>
        <w:ind w:left="-426"/>
        <w:rPr>
          <w:rFonts w:asciiTheme="majorBidi" w:hAnsiTheme="majorBidi" w:cstheme="majorBidi"/>
          <w:b/>
          <w:bCs/>
          <w:sz w:val="28"/>
          <w:szCs w:val="28"/>
        </w:rPr>
      </w:pPr>
      <w:r w:rsidRPr="00960E75">
        <w:rPr>
          <w:rFonts w:asciiTheme="majorBidi" w:hAnsiTheme="majorBidi" w:cstheme="majorBidi"/>
          <w:b/>
          <w:bCs/>
          <w:sz w:val="28"/>
          <w:szCs w:val="28"/>
        </w:rPr>
        <w:t>Résumé</w:t>
      </w:r>
    </w:p>
    <w:p w:rsidR="00C337EB" w:rsidRDefault="00C337EB" w:rsidP="00960E75">
      <w:pPr>
        <w:ind w:left="-426" w:right="-142"/>
        <w:jc w:val="both"/>
        <w:rPr>
          <w:rFonts w:asciiTheme="majorBidi" w:hAnsiTheme="majorBidi" w:cstheme="majorBidi"/>
          <w:sz w:val="26"/>
          <w:szCs w:val="26"/>
        </w:rPr>
      </w:pPr>
      <w:r w:rsidRPr="00960E75">
        <w:rPr>
          <w:rFonts w:asciiTheme="majorBidi" w:hAnsiTheme="majorBidi" w:cstheme="majorBidi"/>
          <w:sz w:val="26"/>
          <w:szCs w:val="26"/>
        </w:rPr>
        <w:t>Le présent travail décrit la synthèse et la caractérisation par les méthodes spectrométriques conventionnelles et la Diffraction des Rayons X</w:t>
      </w:r>
      <w:r w:rsidR="00960E75">
        <w:rPr>
          <w:rFonts w:asciiTheme="majorBidi" w:hAnsiTheme="majorBidi" w:cstheme="majorBidi"/>
          <w:sz w:val="26"/>
          <w:szCs w:val="26"/>
        </w:rPr>
        <w:t>,</w:t>
      </w:r>
      <w:r w:rsidRPr="00960E75">
        <w:rPr>
          <w:rFonts w:asciiTheme="majorBidi" w:hAnsiTheme="majorBidi" w:cstheme="majorBidi"/>
          <w:sz w:val="26"/>
          <w:szCs w:val="26"/>
        </w:rPr>
        <w:t xml:space="preserve"> de deux ligands hétérocycliques possédant un potentiel biologique. La complexation de ces deux ligands dont l’un dérive de la pyrazolone et l’autre de la thiourée, avec une série d’ions métalliques, le Cu(II), Ni(II), Co(II), Mn(II) et VO(IV) a été étudiée en solution par potentiométrie. </w:t>
      </w:r>
      <w:r w:rsidR="00960E75">
        <w:rPr>
          <w:rFonts w:asciiTheme="majorBidi" w:hAnsiTheme="majorBidi" w:cstheme="majorBidi"/>
          <w:sz w:val="26"/>
          <w:szCs w:val="26"/>
        </w:rPr>
        <w:t xml:space="preserve">                                </w:t>
      </w:r>
      <w:r w:rsidRPr="00960E75">
        <w:rPr>
          <w:rFonts w:asciiTheme="majorBidi" w:hAnsiTheme="majorBidi" w:cstheme="majorBidi"/>
          <w:sz w:val="26"/>
          <w:szCs w:val="26"/>
        </w:rPr>
        <w:t>Les complexes du ligand pyrazolone ont été synthétisés à l’état solide et totalement caractérisés</w:t>
      </w:r>
      <w:r w:rsidR="00960E75" w:rsidRPr="00960E75">
        <w:rPr>
          <w:rFonts w:asciiTheme="majorBidi" w:hAnsiTheme="majorBidi" w:cstheme="majorBidi"/>
          <w:sz w:val="26"/>
          <w:szCs w:val="26"/>
        </w:rPr>
        <w:t>, puis leurs propriétés biologiques ont été évaluées</w:t>
      </w:r>
      <w:r w:rsidR="00960E75">
        <w:rPr>
          <w:rFonts w:asciiTheme="majorBidi" w:hAnsiTheme="majorBidi" w:cstheme="majorBidi"/>
          <w:sz w:val="26"/>
          <w:szCs w:val="26"/>
        </w:rPr>
        <w:t xml:space="preserve">. </w:t>
      </w:r>
      <w:r w:rsidR="00960E75" w:rsidRPr="00960E75">
        <w:rPr>
          <w:rFonts w:asciiTheme="majorBidi" w:hAnsiTheme="majorBidi" w:cstheme="majorBidi"/>
          <w:sz w:val="26"/>
          <w:szCs w:val="26"/>
        </w:rPr>
        <w:t xml:space="preserve"> </w:t>
      </w:r>
      <w:r w:rsidR="00960E75">
        <w:rPr>
          <w:rFonts w:asciiTheme="majorBidi" w:hAnsiTheme="majorBidi" w:cstheme="majorBidi"/>
          <w:sz w:val="26"/>
          <w:szCs w:val="26"/>
        </w:rPr>
        <w:t>Leur interaction avec l’ADN a été étudiée, et leurs propriétés cytotoxiques évaluées sur deux types de cancers.</w:t>
      </w:r>
    </w:p>
    <w:sectPr w:rsidR="00C337EB" w:rsidSect="00960E75">
      <w:pgSz w:w="11906" w:h="16838"/>
      <w:pgMar w:top="993" w:right="1417" w:bottom="1417" w:left="156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proofState w:spelling="clean" w:grammar="clean"/>
  <w:defaultTabStop w:val="708"/>
  <w:hyphenationZone w:val="425"/>
  <w:characterSpacingControl w:val="doNotCompress"/>
  <w:compat/>
  <w:rsids>
    <w:rsidRoot w:val="00C337EB"/>
    <w:rsid w:val="00716DD7"/>
    <w:rsid w:val="00960E75"/>
    <w:rsid w:val="009F0B8D"/>
    <w:rsid w:val="00BA2CA3"/>
    <w:rsid w:val="00C337EB"/>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F0B8D"/>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109</Words>
  <Characters>626</Characters>
  <Application>Microsoft Office Word</Application>
  <DocSecurity>0</DocSecurity>
  <Lines>5</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734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DATA GSM</dc:creator>
  <cp:lastModifiedBy>traitement</cp:lastModifiedBy>
  <cp:revision>3</cp:revision>
  <dcterms:created xsi:type="dcterms:W3CDTF">2016-11-21T10:36:00Z</dcterms:created>
  <dcterms:modified xsi:type="dcterms:W3CDTF">2016-11-21T10:36:00Z</dcterms:modified>
</cp:coreProperties>
</file>