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12C7" w:rsidRPr="00E412C7" w:rsidRDefault="00E412C7" w:rsidP="00E412C7">
      <w:pPr>
        <w:bidi w:val="0"/>
        <w:rPr>
          <w:rFonts w:ascii="Times-Roman" w:hAnsi="Times-Roman" w:cs="Times-Roman"/>
          <w:sz w:val="24"/>
          <w:szCs w:val="24"/>
        </w:rPr>
      </w:pPr>
      <w:proofErr w:type="spellStart"/>
      <w:r w:rsidRPr="00E412C7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le cadre de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cette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thèse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notre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intérêt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s’est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porté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sur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l’amélioration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quelques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propriétés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matériaux</w:t>
      </w:r>
      <w:proofErr w:type="spellEnd"/>
      <w:r>
        <w:rPr>
          <w:rFonts w:ascii="Times-Roman" w:hAnsi="Times-Roman" w:hint="cs"/>
          <w:sz w:val="24"/>
          <w:szCs w:val="24"/>
          <w:rtl/>
          <w:lang w:bidi="ar-DZ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polymères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et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sur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la relation de non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misciblité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miscibilté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et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complexation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entre le </w:t>
      </w:r>
      <w:proofErr w:type="gramStart"/>
      <w:r w:rsidRPr="00E412C7">
        <w:rPr>
          <w:rFonts w:ascii="Times-Roman" w:hAnsi="Times-Roman" w:cs="Times-Roman"/>
          <w:sz w:val="24"/>
          <w:szCs w:val="24"/>
        </w:rPr>
        <w:t>poly(</w:t>
      </w:r>
      <w:proofErr w:type="spellStart"/>
      <w:proofErr w:type="gramEnd"/>
      <w:r w:rsidRPr="00E412C7">
        <w:rPr>
          <w:rFonts w:ascii="Times-Roman" w:hAnsi="Times-Roman" w:cs="Times-Roman"/>
          <w:sz w:val="24"/>
          <w:szCs w:val="24"/>
        </w:rPr>
        <w:t>methacrylate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de n-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butyle</w:t>
      </w:r>
      <w:proofErr w:type="spellEnd"/>
      <w:r w:rsidRPr="00E412C7">
        <w:rPr>
          <w:rFonts w:ascii="Times-Roman" w:hAnsi="Times-Roman" w:cs="Times New Roman"/>
          <w:sz w:val="24"/>
          <w:szCs w:val="24"/>
          <w:rtl/>
        </w:rPr>
        <w:t>-</w:t>
      </w:r>
      <w:r>
        <w:rPr>
          <w:rFonts w:ascii="Times-Roman" w:hAnsi="Times-Roman" w:hint="cs"/>
          <w:sz w:val="24"/>
          <w:szCs w:val="24"/>
          <w:rtl/>
          <w:lang w:bidi="ar-DZ"/>
        </w:rPr>
        <w:t xml:space="preserve"> </w:t>
      </w:r>
      <w:r w:rsidRPr="00E412C7">
        <w:rPr>
          <w:rFonts w:ascii="Times-Roman" w:hAnsi="Times-Roman" w:cs="Times New Roman"/>
          <w:sz w:val="24"/>
          <w:szCs w:val="24"/>
          <w:rtl/>
        </w:rPr>
        <w:t xml:space="preserve"> </w:t>
      </w:r>
      <w:r w:rsidRPr="00E412C7">
        <w:rPr>
          <w:rFonts w:ascii="Times-Roman" w:hAnsi="Times-Roman" w:cs="Times-Roman"/>
          <w:sz w:val="24"/>
          <w:szCs w:val="24"/>
        </w:rPr>
        <w:t>co-4-vinyl pyridine) et poly(styrene-co-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acide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itaconique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),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faisant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varier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la nature et la force des interactions</w:t>
      </w:r>
      <w:r w:rsidRPr="00E412C7">
        <w:rPr>
          <w:rFonts w:ascii="Times-Roman" w:hAnsi="Times-Roman" w:cs="Times New Roman"/>
          <w:sz w:val="24"/>
          <w:szCs w:val="24"/>
          <w:rtl/>
        </w:rPr>
        <w:t xml:space="preserve"> </w:t>
      </w:r>
    </w:p>
    <w:p w:rsidR="00E412C7" w:rsidRPr="00E412C7" w:rsidRDefault="00E412C7" w:rsidP="00E412C7">
      <w:pPr>
        <w:bidi w:val="0"/>
        <w:rPr>
          <w:rFonts w:ascii="Times-Roman" w:hAnsi="Times-Roman" w:cs="Times-Roman"/>
          <w:sz w:val="24"/>
          <w:szCs w:val="24"/>
        </w:rPr>
      </w:pPr>
      <w:r w:rsidRPr="00E412C7">
        <w:rPr>
          <w:rFonts w:ascii="Times-Roman" w:hAnsi="Times-Roman" w:cs="Times New Roman"/>
          <w:sz w:val="24"/>
          <w:szCs w:val="24"/>
          <w:rtl/>
        </w:rPr>
        <w:t xml:space="preserve"> </w:t>
      </w:r>
      <w:proofErr w:type="spellStart"/>
      <w:proofErr w:type="gramStart"/>
      <w:r w:rsidRPr="00E412C7">
        <w:rPr>
          <w:rFonts w:ascii="Times-Roman" w:hAnsi="Times-Roman" w:cs="Times-Roman"/>
          <w:sz w:val="24"/>
          <w:szCs w:val="24"/>
        </w:rPr>
        <w:t>mises</w:t>
      </w:r>
      <w:proofErr w:type="spellEnd"/>
      <w:proofErr w:type="gramEnd"/>
      <w:r w:rsidRPr="00E412C7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jeu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entre les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groupements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spécifiques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chaînes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polymères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choisis</w:t>
      </w:r>
      <w:proofErr w:type="spellEnd"/>
      <w:r w:rsidRPr="00E412C7">
        <w:rPr>
          <w:rFonts w:ascii="Times-Roman" w:hAnsi="Times-Roman" w:cs="Times New Roman"/>
          <w:sz w:val="24"/>
          <w:szCs w:val="24"/>
          <w:rtl/>
        </w:rPr>
        <w:t xml:space="preserve">. </w:t>
      </w:r>
    </w:p>
    <w:p w:rsidR="00E412C7" w:rsidRPr="00E412C7" w:rsidRDefault="00E412C7" w:rsidP="00E412C7">
      <w:pPr>
        <w:bidi w:val="0"/>
        <w:rPr>
          <w:rFonts w:ascii="Times-Roman" w:hAnsi="Times-Roman" w:cs="Times-Roman"/>
          <w:sz w:val="24"/>
          <w:szCs w:val="24"/>
        </w:rPr>
      </w:pPr>
      <w:r w:rsidRPr="00E412C7">
        <w:rPr>
          <w:rFonts w:ascii="Times-Roman" w:hAnsi="Times-Roman" w:cs="Times New Roman"/>
          <w:sz w:val="24"/>
          <w:szCs w:val="24"/>
          <w:rtl/>
        </w:rPr>
        <w:t xml:space="preserve">  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Ces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copolymères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différentes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compositions en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comonomères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ont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synthétisés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par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voie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radicalaire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en</w:t>
      </w:r>
      <w:r w:rsidRPr="00E412C7">
        <w:rPr>
          <w:rFonts w:ascii="Times-Roman" w:hAnsi="Times-Roman" w:cs="Times New Roman"/>
          <w:sz w:val="24"/>
          <w:szCs w:val="24"/>
          <w:rtl/>
        </w:rPr>
        <w:t xml:space="preserve"> </w:t>
      </w:r>
      <w:r w:rsidRPr="00E412C7">
        <w:rPr>
          <w:rFonts w:ascii="Times-Roman" w:hAnsi="Times-Roman" w:cs="Times-Roman"/>
          <w:sz w:val="24"/>
          <w:szCs w:val="24"/>
        </w:rPr>
        <w:t xml:space="preserve">solution </w:t>
      </w:r>
      <w:proofErr w:type="gramStart"/>
      <w:r w:rsidRPr="00E412C7">
        <w:rPr>
          <w:rFonts w:ascii="Times-Roman" w:hAnsi="Times-Roman" w:cs="Times-Roman"/>
          <w:sz w:val="24"/>
          <w:szCs w:val="24"/>
        </w:rPr>
        <w:t>et</w:t>
      </w:r>
      <w:proofErr w:type="gram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caractérisés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par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différentes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méthodes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et techniques</w:t>
      </w:r>
      <w:r w:rsidRPr="00E412C7">
        <w:rPr>
          <w:rFonts w:ascii="Times-Roman" w:hAnsi="Times-Roman" w:cs="Times New Roman"/>
          <w:sz w:val="24"/>
          <w:szCs w:val="24"/>
          <w:rtl/>
        </w:rPr>
        <w:t xml:space="preserve">. </w:t>
      </w:r>
    </w:p>
    <w:p w:rsidR="00E412C7" w:rsidRPr="00E412C7" w:rsidRDefault="00E412C7" w:rsidP="00E412C7">
      <w:pPr>
        <w:bidi w:val="0"/>
        <w:rPr>
          <w:rFonts w:ascii="Times-Roman" w:hAnsi="Times-Roman" w:cs="Times-Roman"/>
          <w:sz w:val="24"/>
          <w:szCs w:val="24"/>
        </w:rPr>
      </w:pPr>
      <w:r w:rsidRPr="00E412C7">
        <w:rPr>
          <w:rFonts w:ascii="Times-Roman" w:hAnsi="Times-Roman" w:cs="Times New Roman"/>
          <w:sz w:val="24"/>
          <w:szCs w:val="24"/>
          <w:rtl/>
        </w:rPr>
        <w:t xml:space="preserve">   </w:t>
      </w:r>
      <w:r w:rsidRPr="00E412C7">
        <w:rPr>
          <w:rFonts w:ascii="Times-Roman" w:hAnsi="Times-Roman" w:cs="Times-Roman"/>
          <w:sz w:val="24"/>
          <w:szCs w:val="24"/>
        </w:rPr>
        <w:t xml:space="preserve">La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miscibilité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et la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complexation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différents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mélanges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binaires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élaborés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à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partir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polymères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proofErr w:type="gramStart"/>
      <w:r w:rsidRPr="00E412C7">
        <w:rPr>
          <w:rFonts w:ascii="Times-Roman" w:hAnsi="Times-Roman" w:cs="Times-Roman"/>
          <w:sz w:val="24"/>
          <w:szCs w:val="24"/>
        </w:rPr>
        <w:t>cités</w:t>
      </w:r>
      <w:proofErr w:type="spellEnd"/>
      <w:r w:rsidRPr="00E412C7">
        <w:rPr>
          <w:rFonts w:ascii="Times-Roman" w:hAnsi="Times-Roman" w:cs="Times New Roman"/>
          <w:sz w:val="24"/>
          <w:szCs w:val="24"/>
          <w:rtl/>
        </w:rPr>
        <w:t xml:space="preserve"> 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ci</w:t>
      </w:r>
      <w:proofErr w:type="gramEnd"/>
      <w:r w:rsidRPr="00E412C7">
        <w:rPr>
          <w:rFonts w:ascii="Times-Roman" w:hAnsi="Times-Roman" w:cs="Times-Roman"/>
          <w:sz w:val="24"/>
          <w:szCs w:val="24"/>
        </w:rPr>
        <w:t>-dessus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ont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mises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évidence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par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plusieurs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techniques. </w:t>
      </w:r>
      <w:proofErr w:type="spellStart"/>
      <w:proofErr w:type="gramStart"/>
      <w:r w:rsidRPr="00E412C7">
        <w:rPr>
          <w:rFonts w:ascii="Times-Roman" w:hAnsi="Times-Roman" w:cs="Times-Roman"/>
          <w:sz w:val="24"/>
          <w:szCs w:val="24"/>
        </w:rPr>
        <w:t>L’étude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viscosimétrique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corrobore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résultats</w:t>
      </w:r>
      <w:proofErr w:type="spellEnd"/>
      <w:r w:rsidRPr="00E412C7">
        <w:rPr>
          <w:rFonts w:ascii="Times-Roman" w:hAnsi="Times-Roman" w:cs="Times New Roman"/>
          <w:sz w:val="24"/>
          <w:szCs w:val="24"/>
          <w:rtl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ci-dessus</w:t>
      </w:r>
      <w:proofErr w:type="spellEnd"/>
      <w:r w:rsidRPr="00E412C7">
        <w:rPr>
          <w:rFonts w:ascii="Times-Roman" w:hAnsi="Times-Roman" w:cs="Times New Roman"/>
          <w:sz w:val="24"/>
          <w:szCs w:val="24"/>
          <w:rtl/>
        </w:rPr>
        <w:t>.</w:t>
      </w:r>
      <w:proofErr w:type="gramEnd"/>
      <w:r w:rsidRPr="00E412C7">
        <w:rPr>
          <w:rFonts w:ascii="Times-Roman" w:hAnsi="Times-Roman" w:cs="Times New Roman"/>
          <w:sz w:val="24"/>
          <w:szCs w:val="24"/>
          <w:rtl/>
        </w:rPr>
        <w:t xml:space="preserve"> </w:t>
      </w:r>
    </w:p>
    <w:p w:rsidR="00E412C7" w:rsidRPr="00E412C7" w:rsidRDefault="00E412C7" w:rsidP="00E412C7">
      <w:pPr>
        <w:bidi w:val="0"/>
        <w:rPr>
          <w:rFonts w:ascii="Times-Roman" w:hAnsi="Times-Roman" w:cs="Times-Roman"/>
          <w:sz w:val="24"/>
          <w:szCs w:val="24"/>
        </w:rPr>
      </w:pPr>
      <w:r w:rsidRPr="00E412C7">
        <w:rPr>
          <w:rFonts w:ascii="Times-Roman" w:hAnsi="Times-Roman" w:cs="Times New Roman"/>
          <w:sz w:val="24"/>
          <w:szCs w:val="24"/>
          <w:rtl/>
        </w:rPr>
        <w:t xml:space="preserve">  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L’analyse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calorimétrie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différentielle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(DSC), la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spectroscopie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FTIR/ATR à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température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ambiante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l’étude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par</w:t>
      </w:r>
      <w:r w:rsidRPr="00E412C7">
        <w:rPr>
          <w:rFonts w:ascii="Times-Roman" w:hAnsi="Times-Roman" w:cs="Times New Roman"/>
          <w:sz w:val="24"/>
          <w:szCs w:val="24"/>
          <w:rtl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analyse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thermogravimétrique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(ATG) a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confirmé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stabilité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thermique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ces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matériaux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. Les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résultats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obtenus</w:t>
      </w:r>
      <w:proofErr w:type="spellEnd"/>
      <w:r w:rsidRPr="00E412C7">
        <w:rPr>
          <w:rFonts w:ascii="Times-Roman" w:hAnsi="Times-Roman" w:cs="Times New Roman"/>
          <w:sz w:val="24"/>
          <w:szCs w:val="24"/>
          <w:rtl/>
        </w:rPr>
        <w:t xml:space="preserve"> </w:t>
      </w:r>
      <w:r w:rsidRPr="00E412C7">
        <w:rPr>
          <w:rFonts w:ascii="Times-Roman" w:hAnsi="Times-Roman" w:cs="Times-Roman"/>
          <w:sz w:val="24"/>
          <w:szCs w:val="24"/>
        </w:rPr>
        <w:t xml:space="preserve">par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microscopie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électronique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à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balayage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(MEB) en accord avec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ceux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obtenus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par les techniques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citées</w:t>
      </w:r>
      <w:proofErr w:type="spellEnd"/>
      <w:r w:rsidRPr="00E412C7">
        <w:rPr>
          <w:rFonts w:ascii="Times-Roman" w:hAnsi="Times-Roman" w:cs="Times New Roman"/>
          <w:sz w:val="24"/>
          <w:szCs w:val="24"/>
          <w:rtl/>
        </w:rPr>
        <w:t xml:space="preserve"> </w:t>
      </w:r>
    </w:p>
    <w:p w:rsidR="007A7F5D" w:rsidRPr="00E412C7" w:rsidRDefault="00E412C7" w:rsidP="00E412C7">
      <w:pPr>
        <w:bidi w:val="0"/>
        <w:rPr>
          <w:szCs w:val="24"/>
        </w:rPr>
      </w:pPr>
      <w:r w:rsidRPr="00E412C7">
        <w:rPr>
          <w:rFonts w:ascii="Times-Roman" w:hAnsi="Times-Roman" w:cs="Times New Roman"/>
          <w:sz w:val="24"/>
          <w:szCs w:val="24"/>
          <w:rtl/>
        </w:rPr>
        <w:t xml:space="preserve"> </w:t>
      </w:r>
      <w:proofErr w:type="spellStart"/>
      <w:proofErr w:type="gramStart"/>
      <w:r w:rsidRPr="00E412C7">
        <w:rPr>
          <w:rFonts w:ascii="Times-Roman" w:hAnsi="Times-Roman" w:cs="Times-Roman"/>
          <w:sz w:val="24"/>
          <w:szCs w:val="24"/>
        </w:rPr>
        <w:t>ci-dessus</w:t>
      </w:r>
      <w:proofErr w:type="spellEnd"/>
      <w:proofErr w:type="gramEnd"/>
      <w:r w:rsidRPr="00E412C7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confirment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l’hétérogénéité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et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l’homogénéité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des surfaces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cryofracturées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matériaux</w:t>
      </w:r>
      <w:proofErr w:type="spellEnd"/>
      <w:r w:rsidRPr="00E412C7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E412C7">
        <w:rPr>
          <w:rFonts w:ascii="Times-Roman" w:hAnsi="Times-Roman" w:cs="Times-Roman"/>
          <w:sz w:val="24"/>
          <w:szCs w:val="24"/>
        </w:rPr>
        <w:t>élaborés</w:t>
      </w:r>
      <w:proofErr w:type="spellEnd"/>
      <w:r w:rsidRPr="00E412C7">
        <w:rPr>
          <w:rFonts w:ascii="Times-Roman" w:hAnsi="Times-Roman" w:cs="Times New Roman"/>
          <w:sz w:val="24"/>
          <w:szCs w:val="24"/>
          <w:rtl/>
        </w:rPr>
        <w:t>.</w:t>
      </w:r>
    </w:p>
    <w:sectPr w:rsidR="007A7F5D" w:rsidRPr="00E412C7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34258A"/>
    <w:rsid w:val="003D2F35"/>
    <w:rsid w:val="00426714"/>
    <w:rsid w:val="005854F9"/>
    <w:rsid w:val="005F47AF"/>
    <w:rsid w:val="0062768E"/>
    <w:rsid w:val="007A7F5D"/>
    <w:rsid w:val="009E217B"/>
    <w:rsid w:val="00A53F06"/>
    <w:rsid w:val="00A555F6"/>
    <w:rsid w:val="00AA61CD"/>
    <w:rsid w:val="00B60D2E"/>
    <w:rsid w:val="00B64118"/>
    <w:rsid w:val="00B705B7"/>
    <w:rsid w:val="00BA3A1F"/>
    <w:rsid w:val="00C06CA0"/>
    <w:rsid w:val="00D601D7"/>
    <w:rsid w:val="00E412C7"/>
    <w:rsid w:val="00E6735E"/>
    <w:rsid w:val="00E904AD"/>
    <w:rsid w:val="00EB052E"/>
    <w:rsid w:val="00F64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352</TotalTime>
  <Pages>1</Pages>
  <Words>187</Words>
  <Characters>1069</Characters>
  <Application>Microsoft Office Word</Application>
  <DocSecurity>0</DocSecurity>
  <Lines>8</Lines>
  <Paragraphs>2</Paragraphs>
  <ScaleCrop>false</ScaleCrop>
  <Company/>
  <LinksUpToDate>false</LinksUpToDate>
  <CharactersWithSpaces>1254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23</cp:revision>
  <dcterms:created xsi:type="dcterms:W3CDTF">2014-12-07T11:07:00Z</dcterms:created>
  <dcterms:modified xsi:type="dcterms:W3CDTF">2014-12-09T13:51:00Z</dcterms:modified>
</cp:coreProperties>
</file>