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F0C" w:rsidRDefault="009D0F0C" w:rsidP="009D0F0C">
      <w:r>
        <w:t>Cette étude a pour objectif principal la description des formations à Acacia tortilis subsp.</w:t>
      </w:r>
    </w:p>
    <w:p w:rsidR="009D0F0C" w:rsidRDefault="009D0F0C" w:rsidP="009D0F0C">
      <w:r>
        <w:t>raddiana des oueds sahariens sur le plan écologique et phytosociologique. Durant le</w:t>
      </w:r>
    </w:p>
    <w:p w:rsidR="009D0F0C" w:rsidRDefault="009D0F0C" w:rsidP="009D0F0C">
      <w:r>
        <w:t>printemps 2009 62 relevés ont été récoltés lesquels ont été soumis à un traitement numérique</w:t>
      </w:r>
    </w:p>
    <w:p w:rsidR="009D0F0C" w:rsidRDefault="009D0F0C" w:rsidP="009D0F0C">
      <w:r>
        <w:t>à l’aide d’une analyse des correspondances détendancés, d’une classification ascendante</w:t>
      </w:r>
    </w:p>
    <w:p w:rsidR="009D0F0C" w:rsidRDefault="009D0F0C" w:rsidP="009D0F0C">
      <w:r>
        <w:t>hiérarchique et d’une analyse canoniques des correspondances. Les résultats obtenus ont</w:t>
      </w:r>
    </w:p>
    <w:p w:rsidR="009D0F0C" w:rsidRDefault="009D0F0C" w:rsidP="009D0F0C">
      <w:r>
        <w:t>permis d’individualiser 4 ensembles floristiques correspondant à quatre groupements</w:t>
      </w:r>
    </w:p>
    <w:p w:rsidR="009D0F0C" w:rsidRDefault="009D0F0C" w:rsidP="009D0F0C">
      <w:r>
        <w:t>d’Acacia se répartissant entre 920 et 1650 m au niveau des principaux oueds de la région de</w:t>
      </w:r>
    </w:p>
    <w:p w:rsidR="009D0F0C" w:rsidRDefault="009D0F0C" w:rsidP="009D0F0C">
      <w:r>
        <w:t>Tamanrasset. L’analyse numérique a permis d’identifier l’altitude, le substrat, l’épaisseur des</w:t>
      </w:r>
    </w:p>
    <w:p w:rsidR="009D0F0C" w:rsidRDefault="009D0F0C" w:rsidP="009D0F0C">
      <w:r>
        <w:t>alluvions, la pente et la profondeur de la nappe phréatique comme facteurs écologiques</w:t>
      </w:r>
    </w:p>
    <w:p w:rsidR="009D0F0C" w:rsidRDefault="009D0F0C" w:rsidP="009D0F0C">
      <w:r>
        <w:t>régissant la distribution de ces différents groupements. L’analyse phytosociologique a permis</w:t>
      </w:r>
    </w:p>
    <w:p w:rsidR="009D0F0C" w:rsidRDefault="009D0F0C" w:rsidP="009D0F0C">
      <w:r>
        <w:t>de rattacher les groupements identifiés à l’alliance des Acacieto-Panicion, à l’ordre des</w:t>
      </w:r>
    </w:p>
    <w:p w:rsidR="009D0F0C" w:rsidRDefault="009D0F0C" w:rsidP="009D0F0C">
      <w:r>
        <w:t>Pergulario-Pulicarietalia et la classe des Pergulario-Pulicarietea. Il s’agit de l’association à</w:t>
      </w:r>
    </w:p>
    <w:p w:rsidR="009D0F0C" w:rsidRDefault="009D0F0C" w:rsidP="009D0F0C">
      <w:r>
        <w:t>Cassia italica et Panicum turgidum dans ses limites les plus alticoles avec la sous-association</w:t>
      </w:r>
    </w:p>
    <w:p w:rsidR="009D0F0C" w:rsidRDefault="009D0F0C" w:rsidP="009D0F0C">
      <w:r>
        <w:t>à Salvia chudaei, le groupement à Acacia raddiana et Artemisia campestris, le groupement à</w:t>
      </w:r>
    </w:p>
    <w:p w:rsidR="009D0F0C" w:rsidRDefault="009D0F0C" w:rsidP="009D0F0C">
      <w:r>
        <w:t>Acacia raddiana et Salvadora persica et l’association à Cassia italica et Panicum turgidum</w:t>
      </w:r>
    </w:p>
    <w:p w:rsidR="009D0F0C" w:rsidRDefault="009D0F0C" w:rsidP="009D0F0C">
      <w:r>
        <w:t>caractérisée par le faciès à Balanites aegyptiaca. Le groupement à Acacia raddiana et</w:t>
      </w:r>
    </w:p>
    <w:p w:rsidR="009D0F0C" w:rsidRDefault="009D0F0C" w:rsidP="009D0F0C">
      <w:r>
        <w:t>Artemisia campestris est inédit alors que le groupement à Acacia raddiana et Salvadora</w:t>
      </w:r>
    </w:p>
    <w:p w:rsidR="007B3CCA" w:rsidRDefault="009D0F0C" w:rsidP="009D0F0C">
      <w:r>
        <w:t>persica a déjà été décrit et dont le statut syntaxonomique doit être confirmé.</w:t>
      </w:r>
    </w:p>
    <w:sectPr w:rsidR="007B3CCA" w:rsidSect="007B3CC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D0F0C"/>
    <w:rsid w:val="007B3CCA"/>
    <w:rsid w:val="009D0F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3CC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2015-04-05T13:34:00Z</dcterms:created>
  <dcterms:modified xsi:type="dcterms:W3CDTF">2015-04-05T13:35:00Z</dcterms:modified>
</cp:coreProperties>
</file>