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CA6" w:rsidRDefault="005D1CA6" w:rsidP="005D1CA6">
      <w:pPr>
        <w:jc w:val="center"/>
        <w:rPr>
          <w:rFonts w:ascii="Times New Roman" w:hAnsi="Times New Roman" w:cs="Times New Roman"/>
          <w:b/>
          <w:sz w:val="40"/>
          <w:szCs w:val="40"/>
        </w:rPr>
      </w:pPr>
      <w:r w:rsidRPr="00765D1B">
        <w:rPr>
          <w:rFonts w:ascii="Times New Roman" w:hAnsi="Times New Roman" w:cs="Times New Roman"/>
          <w:b/>
          <w:sz w:val="40"/>
          <w:szCs w:val="40"/>
        </w:rPr>
        <w:t>Résumé</w:t>
      </w:r>
    </w:p>
    <w:p w:rsidR="005D1CA6" w:rsidRDefault="005D1CA6" w:rsidP="005D1CA6">
      <w:pPr>
        <w:spacing w:line="240" w:lineRule="auto"/>
        <w:jc w:val="both"/>
        <w:rPr>
          <w:rFonts w:ascii="Times New Roman" w:hAnsi="Times New Roman" w:cs="Times New Roman"/>
          <w:sz w:val="24"/>
          <w:szCs w:val="24"/>
        </w:rPr>
      </w:pPr>
      <w:r w:rsidRPr="00765D1B">
        <w:rPr>
          <w:rFonts w:ascii="Times New Roman" w:hAnsi="Times New Roman" w:cs="Times New Roman"/>
          <w:sz w:val="24"/>
          <w:szCs w:val="24"/>
        </w:rPr>
        <w:t>Dans le domaine de la reconnaissance vocale, la biométrie vocale est une technique émergente utilisant les techniques de reconnaissance automatique des locuteurs (RAL). Cette dernière exploite la variabilité interlocuteurs et s’intéresse aux informations extralinguistiques du signal vocal : il s’agit donc de reconnaitre une personne à partir de sa voix. L'identification Automatique du Locuteur (IAL) et la Vérification (Authentification) Automatique du Locuteur (VAL) sont les deux tâches les plus répandues dans le domaine de la RAL. Les applications sont nombreuses, notamment dans le contrôle d’accès, dans les institutions financières ou le donneur d’ordre doit être identifié et dans le domaine sécuritaire  ou  judiciaire. En effet, les applications en sciences criminalistiques sont de plus en plus évoquées, à tels point que de nombreux travaux trouvent leur prolongement</w:t>
      </w:r>
      <w:r>
        <w:rPr>
          <w:rFonts w:ascii="Times New Roman" w:hAnsi="Times New Roman" w:cs="Times New Roman"/>
          <w:sz w:val="24"/>
          <w:szCs w:val="24"/>
        </w:rPr>
        <w:t xml:space="preserve"> dans les sciences </w:t>
      </w:r>
      <w:proofErr w:type="spellStart"/>
      <w:r>
        <w:rPr>
          <w:rFonts w:ascii="Times New Roman" w:hAnsi="Times New Roman" w:cs="Times New Roman"/>
          <w:sz w:val="24"/>
          <w:szCs w:val="24"/>
        </w:rPr>
        <w:t>forensiques</w:t>
      </w:r>
      <w:proofErr w:type="spellEnd"/>
      <w:r>
        <w:rPr>
          <w:rFonts w:ascii="Times New Roman" w:hAnsi="Times New Roman" w:cs="Times New Roman"/>
          <w:sz w:val="24"/>
          <w:szCs w:val="24"/>
        </w:rPr>
        <w:t xml:space="preserve">. </w:t>
      </w:r>
      <w:r w:rsidRPr="00765D1B">
        <w:rPr>
          <w:rFonts w:ascii="Times New Roman" w:hAnsi="Times New Roman" w:cs="Times New Roman"/>
          <w:sz w:val="24"/>
          <w:szCs w:val="24"/>
        </w:rPr>
        <w:t>Les systèmes de RAL résultent de la combinaison de techniques de traitement du signal nécessaires à l’extraction des paramètres acoustiques et de modèles issus de la reconnaissance des formes pour la discrimination entre locuteurs. Les méthodes actuellement utilisées sont fondées sur les modèles statistiques : mélange de gaussiennes GMM, HMM</w:t>
      </w:r>
      <w:r>
        <w:rPr>
          <w:rFonts w:ascii="Times New Roman" w:hAnsi="Times New Roman" w:cs="Times New Roman"/>
          <w:sz w:val="24"/>
          <w:szCs w:val="24"/>
        </w:rPr>
        <w:t xml:space="preserve"> </w:t>
      </w:r>
      <w:r w:rsidRPr="008D364E">
        <w:rPr>
          <w:rFonts w:ascii="Times New Roman" w:hAnsi="Times New Roman" w:cs="Times New Roman"/>
          <w:sz w:val="24"/>
          <w:szCs w:val="24"/>
        </w:rPr>
        <w:t>(</w:t>
      </w:r>
      <w:proofErr w:type="spellStart"/>
      <w:r w:rsidRPr="008D364E">
        <w:rPr>
          <w:rFonts w:ascii="Times New Roman" w:hAnsi="Times New Roman" w:cs="Times New Roman"/>
          <w:sz w:val="24"/>
          <w:szCs w:val="24"/>
        </w:rPr>
        <w:t>Hidden</w:t>
      </w:r>
      <w:proofErr w:type="spellEnd"/>
      <w:r w:rsidRPr="008D364E">
        <w:rPr>
          <w:rFonts w:ascii="Times New Roman" w:hAnsi="Times New Roman" w:cs="Times New Roman"/>
          <w:sz w:val="24"/>
          <w:szCs w:val="24"/>
        </w:rPr>
        <w:t xml:space="preserve"> Markov </w:t>
      </w:r>
      <w:proofErr w:type="spellStart"/>
      <w:r w:rsidRPr="008D364E">
        <w:rPr>
          <w:rFonts w:ascii="Times New Roman" w:hAnsi="Times New Roman" w:cs="Times New Roman"/>
          <w:sz w:val="24"/>
          <w:szCs w:val="24"/>
        </w:rPr>
        <w:t>Models</w:t>
      </w:r>
      <w:proofErr w:type="spellEnd"/>
      <w:r w:rsidRPr="008D364E">
        <w:rPr>
          <w:rFonts w:ascii="Times New Roman" w:hAnsi="Times New Roman" w:cs="Times New Roman"/>
          <w:sz w:val="24"/>
          <w:szCs w:val="24"/>
        </w:rPr>
        <w:t>)</w:t>
      </w:r>
      <w:r w:rsidRPr="00765D1B">
        <w:rPr>
          <w:rFonts w:ascii="Times New Roman" w:hAnsi="Times New Roman" w:cs="Times New Roman"/>
          <w:sz w:val="24"/>
          <w:szCs w:val="24"/>
        </w:rPr>
        <w:t xml:space="preserve">, ou neuronaux tels que les </w:t>
      </w:r>
      <w:r w:rsidRPr="008D364E">
        <w:rPr>
          <w:rFonts w:ascii="Times New Roman" w:eastAsiaTheme="minorEastAsia" w:hAnsi="Times New Roman" w:cs="Times New Roman"/>
          <w:noProof/>
          <w:sz w:val="24"/>
          <w:szCs w:val="24"/>
        </w:rPr>
        <w:t>Réseau de Neurones Artificiels</w:t>
      </w:r>
      <w:r w:rsidRPr="00765D1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765D1B">
        <w:rPr>
          <w:rFonts w:ascii="Times New Roman" w:hAnsi="Times New Roman" w:cs="Times New Roman"/>
          <w:sz w:val="24"/>
          <w:szCs w:val="24"/>
        </w:rPr>
        <w:t>ANNs</w:t>
      </w:r>
      <w:proofErr w:type="spellEnd"/>
      <w:r>
        <w:rPr>
          <w:rFonts w:ascii="Times New Roman" w:hAnsi="Times New Roman" w:cs="Times New Roman"/>
          <w:sz w:val="24"/>
          <w:szCs w:val="24"/>
        </w:rPr>
        <w:t>)</w:t>
      </w:r>
      <w:r w:rsidRPr="00765D1B">
        <w:rPr>
          <w:rFonts w:ascii="Times New Roman" w:hAnsi="Times New Roman" w:cs="Times New Roman"/>
          <w:sz w:val="24"/>
          <w:szCs w:val="24"/>
        </w:rPr>
        <w:t xml:space="preserve">. Ces systèmes ont montré leur efficacité en environnement calme ou peu perturbé (absence de bruits de fond). Cependant, leurs performances se dégradent fortement en environnement réel, notamment pour certains </w:t>
      </w:r>
      <w:r>
        <w:rPr>
          <w:rFonts w:ascii="Times New Roman" w:hAnsi="Times New Roman" w:cs="Times New Roman"/>
          <w:sz w:val="24"/>
          <w:szCs w:val="24"/>
        </w:rPr>
        <w:t xml:space="preserve">bruits audio de large spectre. </w:t>
      </w:r>
      <w:r w:rsidRPr="00765D1B">
        <w:rPr>
          <w:rFonts w:ascii="Times New Roman" w:hAnsi="Times New Roman" w:cs="Times New Roman"/>
          <w:sz w:val="24"/>
          <w:szCs w:val="24"/>
        </w:rPr>
        <w:t xml:space="preserve">Notre travail se concentre sur les nouvelles variantes dérivées de paramètres standards tels que </w:t>
      </w:r>
      <w:proofErr w:type="spellStart"/>
      <w:r w:rsidRPr="00765D1B">
        <w:rPr>
          <w:rFonts w:ascii="Times New Roman" w:hAnsi="Times New Roman" w:cs="Times New Roman"/>
          <w:sz w:val="24"/>
          <w:szCs w:val="24"/>
        </w:rPr>
        <w:t>MFCCs</w:t>
      </w:r>
      <w:proofErr w:type="spellEnd"/>
      <w:r w:rsidRPr="00765D1B">
        <w:rPr>
          <w:rFonts w:ascii="Times New Roman" w:hAnsi="Times New Roman" w:cs="Times New Roman"/>
          <w:sz w:val="24"/>
          <w:szCs w:val="24"/>
        </w:rPr>
        <w:t>, en utilisant d’autres fenêtres dans l’analyse à courte terme du signal de parole, telle que les fenêtres asymétriques, et la fusion de paramètres et de modèles à différents niveaux, principalement au niveau de scores. L'amélioration des performances peut être atteinte par notre fusion des systèmes avec différents ‘front-end’ ou ‘back-ends’. Ceci peut être réalisé par l'utilisation de différents détecteurs d'activité vocale (VAD) et / ou des techniques d'extraction de caractéristique à travers le système; et des back-end qui comprennent l'utilisation de différents modèles et / ou des techniques de compensation (</w:t>
      </w:r>
      <w:r>
        <w:rPr>
          <w:rFonts w:ascii="Times New Roman" w:hAnsi="Times New Roman" w:cs="Times New Roman"/>
          <w:sz w:val="24"/>
          <w:szCs w:val="24"/>
        </w:rPr>
        <w:t xml:space="preserve">PCA et LDA) entre les systèmes. </w:t>
      </w:r>
      <w:r w:rsidRPr="00765D1B">
        <w:rPr>
          <w:rFonts w:ascii="Times New Roman" w:hAnsi="Times New Roman" w:cs="Times New Roman"/>
          <w:sz w:val="24"/>
          <w:szCs w:val="24"/>
        </w:rPr>
        <w:t xml:space="preserve">A travers une étude comparative, incluant les </w:t>
      </w:r>
      <w:proofErr w:type="spellStart"/>
      <w:r w:rsidRPr="00765D1B">
        <w:rPr>
          <w:rFonts w:ascii="Times New Roman" w:hAnsi="Times New Roman" w:cs="Times New Roman"/>
          <w:sz w:val="24"/>
          <w:szCs w:val="24"/>
        </w:rPr>
        <w:t>GMMs</w:t>
      </w:r>
      <w:proofErr w:type="spellEnd"/>
      <w:r w:rsidRPr="00765D1B">
        <w:rPr>
          <w:rFonts w:ascii="Times New Roman" w:hAnsi="Times New Roman" w:cs="Times New Roman"/>
          <w:sz w:val="24"/>
          <w:szCs w:val="24"/>
        </w:rPr>
        <w:t xml:space="preserve"> et les GMM-</w:t>
      </w:r>
      <w:proofErr w:type="spellStart"/>
      <w:r w:rsidRPr="00765D1B">
        <w:rPr>
          <w:rFonts w:ascii="Times New Roman" w:hAnsi="Times New Roman" w:cs="Times New Roman"/>
          <w:sz w:val="24"/>
          <w:szCs w:val="24"/>
        </w:rPr>
        <w:t>SVMs</w:t>
      </w:r>
      <w:proofErr w:type="spellEnd"/>
      <w:r w:rsidRPr="00765D1B">
        <w:rPr>
          <w:rFonts w:ascii="Times New Roman" w:hAnsi="Times New Roman" w:cs="Times New Roman"/>
          <w:sz w:val="24"/>
          <w:szCs w:val="24"/>
        </w:rPr>
        <w:t xml:space="preserve">,  portant sur la reconnaissance de locuteurs en mode indépendant du texte, en ensemble ouvert (vérification) et fermé (identification) en environnement calme et bruité,  nous montrons que les systèmes de RAL basés sur la fusion de scores (paramètres et modèles) présentent de meilleurs résultats. Les vecteurs acoustiques d’entrées, extraits des bases de données TIMIT et NIST2000, sont constitués par les coefficients ; MFCC, PLP, RAST-PLP, LPC, LPCC et </w:t>
      </w:r>
      <w:proofErr w:type="spellStart"/>
      <w:r>
        <w:rPr>
          <w:rFonts w:ascii="Times New Roman" w:eastAsia="Times New Roman" w:hAnsi="Times New Roman" w:cs="Times New Roman"/>
          <w:color w:val="000000"/>
          <w:sz w:val="24"/>
          <w:szCs w:val="24"/>
          <w:lang w:eastAsia="fr-FR"/>
        </w:rPr>
        <w:t>MODGDCs</w:t>
      </w:r>
      <w:proofErr w:type="spellEnd"/>
      <w:r w:rsidRPr="00765D1B">
        <w:rPr>
          <w:rFonts w:ascii="Times New Roman" w:hAnsi="Times New Roman" w:cs="Times New Roman"/>
          <w:sz w:val="24"/>
          <w:szCs w:val="24"/>
        </w:rPr>
        <w:t>, et la fusion de ces paramètres  pour évaluer l’apport de l</w:t>
      </w:r>
      <w:r>
        <w:rPr>
          <w:rFonts w:ascii="Times New Roman" w:hAnsi="Times New Roman" w:cs="Times New Roman"/>
          <w:sz w:val="24"/>
          <w:szCs w:val="24"/>
        </w:rPr>
        <w:t xml:space="preserve">a coopération de connaissance. </w:t>
      </w:r>
      <w:r w:rsidRPr="00765D1B">
        <w:rPr>
          <w:rFonts w:ascii="Times New Roman" w:hAnsi="Times New Roman" w:cs="Times New Roman"/>
          <w:sz w:val="24"/>
          <w:szCs w:val="24"/>
        </w:rPr>
        <w:t>L’extension de notre étude à la reconnaissance  en milieu fortement bruité, faisant appel à trois types de bruits additifs (produits par : le chahut dans une cantine, dans une usine de production de véhicule, un bruit blanc) atteignant de forts niveaux SPL, tirés de la base de données NOISEX-92  (NATO : AC 243/RSG 10) confirme la supériorité de l’approche retenue basée sur les méthodes de fusion de paramètres et de modèles proposées dans cette thèse</w:t>
      </w:r>
      <w:r>
        <w:rPr>
          <w:rFonts w:ascii="Times New Roman" w:hAnsi="Times New Roman" w:cs="Times New Roman"/>
          <w:sz w:val="24"/>
          <w:szCs w:val="24"/>
        </w:rPr>
        <w:t>.</w:t>
      </w:r>
    </w:p>
    <w:p w:rsidR="00625FFC" w:rsidRPr="005D1CA6" w:rsidRDefault="005D1CA6" w:rsidP="005D1CA6">
      <w:pPr>
        <w:tabs>
          <w:tab w:val="left" w:pos="567"/>
        </w:tabs>
        <w:spacing w:after="0" w:line="360" w:lineRule="auto"/>
        <w:textAlignment w:val="top"/>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 xml:space="preserve">Mots </w:t>
      </w:r>
      <w:r w:rsidRPr="006E6267">
        <w:rPr>
          <w:rFonts w:ascii="Times New Roman" w:eastAsia="Times New Roman" w:hAnsi="Times New Roman" w:cs="Times New Roman"/>
          <w:b/>
          <w:bCs/>
          <w:color w:val="000000"/>
          <w:sz w:val="24"/>
          <w:szCs w:val="24"/>
          <w:lang w:eastAsia="fr-FR"/>
        </w:rPr>
        <w:t>clés :</w:t>
      </w:r>
      <w:r w:rsidRPr="006E6267">
        <w:rPr>
          <w:rFonts w:ascii="Times New Roman" w:eastAsia="Times New Roman" w:hAnsi="Times New Roman" w:cs="Times New Roman"/>
          <w:color w:val="000000"/>
          <w:sz w:val="24"/>
          <w:szCs w:val="24"/>
          <w:lang w:eastAsia="fr-FR"/>
        </w:rPr>
        <w:t xml:space="preserve"> Reconnaissance</w:t>
      </w:r>
      <w:r>
        <w:rPr>
          <w:rFonts w:ascii="Times New Roman" w:eastAsia="Times New Roman" w:hAnsi="Times New Roman" w:cs="Times New Roman"/>
          <w:color w:val="000000"/>
          <w:sz w:val="24"/>
          <w:szCs w:val="24"/>
          <w:lang w:eastAsia="fr-FR"/>
        </w:rPr>
        <w:t xml:space="preserve"> Automatique du Locuteur, MFCC, </w:t>
      </w:r>
      <w:proofErr w:type="spellStart"/>
      <w:r>
        <w:rPr>
          <w:rFonts w:ascii="Times New Roman" w:eastAsia="Times New Roman" w:hAnsi="Times New Roman" w:cs="Times New Roman"/>
          <w:color w:val="000000"/>
          <w:sz w:val="24"/>
          <w:szCs w:val="24"/>
          <w:lang w:eastAsia="fr-FR"/>
        </w:rPr>
        <w:t>MODGDCs</w:t>
      </w:r>
      <w:proofErr w:type="spellEnd"/>
      <w:r>
        <w:rPr>
          <w:rFonts w:ascii="Times New Roman" w:eastAsia="Times New Roman" w:hAnsi="Times New Roman" w:cs="Times New Roman"/>
          <w:color w:val="000000"/>
          <w:sz w:val="24"/>
          <w:szCs w:val="24"/>
          <w:lang w:eastAsia="fr-FR"/>
        </w:rPr>
        <w:t xml:space="preserve">, GMM, GMM-SVM, MLP, VAD, Fusion des Scores, </w:t>
      </w:r>
      <w:r w:rsidRPr="00765D1B">
        <w:rPr>
          <w:rFonts w:ascii="Times New Roman" w:hAnsi="Times New Roman" w:cs="Times New Roman"/>
          <w:sz w:val="24"/>
          <w:szCs w:val="24"/>
        </w:rPr>
        <w:t>TIMIT</w:t>
      </w:r>
      <w:r>
        <w:rPr>
          <w:rFonts w:ascii="Times New Roman" w:hAnsi="Times New Roman" w:cs="Times New Roman"/>
          <w:sz w:val="24"/>
          <w:szCs w:val="24"/>
        </w:rPr>
        <w:t xml:space="preserve">, </w:t>
      </w:r>
      <w:r w:rsidRPr="00765D1B">
        <w:rPr>
          <w:rFonts w:ascii="Times New Roman" w:hAnsi="Times New Roman" w:cs="Times New Roman"/>
          <w:sz w:val="24"/>
          <w:szCs w:val="24"/>
        </w:rPr>
        <w:t xml:space="preserve"> NIST2000</w:t>
      </w:r>
      <w:r>
        <w:rPr>
          <w:rFonts w:ascii="Times New Roman" w:eastAsia="Times New Roman" w:hAnsi="Times New Roman" w:cs="Times New Roman"/>
          <w:color w:val="000000"/>
          <w:sz w:val="24"/>
          <w:szCs w:val="24"/>
          <w:lang w:eastAsia="fr-FR"/>
        </w:rPr>
        <w:t>, Environnement  Bruité</w:t>
      </w:r>
      <w:r>
        <w:rPr>
          <w:rFonts w:ascii="Times New Roman" w:eastAsia="Times New Roman" w:hAnsi="Times New Roman" w:cs="Times New Roman"/>
          <w:b/>
          <w:bCs/>
          <w:color w:val="000000"/>
          <w:sz w:val="24"/>
          <w:szCs w:val="24"/>
          <w:lang w:eastAsia="fr-FR"/>
        </w:rPr>
        <w:t>.</w:t>
      </w:r>
      <w:bookmarkStart w:id="0" w:name="_GoBack"/>
      <w:bookmarkEnd w:id="0"/>
    </w:p>
    <w:sectPr w:rsidR="00625FFC" w:rsidRPr="005D1CA6" w:rsidSect="0012430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351"/>
    <w:rsid w:val="0012430B"/>
    <w:rsid w:val="001C1846"/>
    <w:rsid w:val="005D1CA6"/>
    <w:rsid w:val="00625FFC"/>
    <w:rsid w:val="00EF47C1"/>
    <w:rsid w:val="00FA6351"/>
    <w:rsid w:val="00FB61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A6"/>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A6"/>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533</Words>
  <Characters>3040</Characters>
  <Application>Microsoft Office Word</Application>
  <DocSecurity>0</DocSecurity>
  <Lines>25</Lines>
  <Paragraphs>7</Paragraphs>
  <ScaleCrop>false</ScaleCrop>
  <Company>Hewlett-Packard Company</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ASBAI</dc:creator>
  <cp:keywords/>
  <dc:description/>
  <cp:lastModifiedBy>Dr ASBAI</cp:lastModifiedBy>
  <cp:revision>2</cp:revision>
  <dcterms:created xsi:type="dcterms:W3CDTF">2015-07-06T12:13:00Z</dcterms:created>
  <dcterms:modified xsi:type="dcterms:W3CDTF">2015-07-06T12:13:00Z</dcterms:modified>
</cp:coreProperties>
</file>