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6A2" w:rsidRDefault="000E36A2" w:rsidP="00760D67">
      <w:pPr>
        <w:pStyle w:val="Default"/>
        <w:spacing w:line="276" w:lineRule="auto"/>
        <w:jc w:val="both"/>
        <w:rPr>
          <w:rFonts w:asciiTheme="majorBidi" w:hAnsiTheme="majorBidi" w:cstheme="majorBidi"/>
          <w:b/>
          <w:bCs/>
          <w:lang w:val="fr-FR"/>
        </w:rPr>
      </w:pPr>
    </w:p>
    <w:p w:rsidR="000E36A2" w:rsidRDefault="000E36A2" w:rsidP="00760D67">
      <w:pPr>
        <w:pStyle w:val="Default"/>
        <w:spacing w:line="276" w:lineRule="auto"/>
        <w:jc w:val="both"/>
        <w:rPr>
          <w:rFonts w:asciiTheme="majorBidi" w:hAnsiTheme="majorBidi" w:cstheme="majorBidi"/>
          <w:b/>
          <w:bCs/>
          <w:lang w:val="fr-FR"/>
        </w:rPr>
      </w:pPr>
    </w:p>
    <w:p w:rsidR="000E36A2" w:rsidRDefault="000E36A2" w:rsidP="00760D67">
      <w:pPr>
        <w:pStyle w:val="Default"/>
        <w:spacing w:line="276" w:lineRule="auto"/>
        <w:jc w:val="both"/>
        <w:rPr>
          <w:rFonts w:asciiTheme="majorBidi" w:hAnsiTheme="majorBidi" w:cstheme="majorBidi"/>
          <w:b/>
          <w:bCs/>
          <w:lang w:val="fr-FR"/>
        </w:rPr>
      </w:pP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b/>
          <w:bCs/>
          <w:lang w:val="fr-FR"/>
        </w:rPr>
        <w:t xml:space="preserve">Résumé </w:t>
      </w: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lang w:val="fr-FR"/>
        </w:rPr>
        <w:t xml:space="preserve">L’envenimation scorpionique (ES) est principalement associée aux troubles cardiovasculaires, qui peuvent s’avérer fatales et dont les mécanismes font toujours l’objet de nombreux travaux de recherche. Dans ce contexte, les envenimations doivent être traitées immédiatement et efficacement, en raison de leurs gravités et la diffusion rapide des toxines. </w:t>
      </w: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lang w:val="fr-FR"/>
        </w:rPr>
        <w:t>Dans cette étude, nous nous sommes intéressés dans un premier temps à étudier l'implication du système rénine-angiotensine et de l’axe endothéline, dans la réponse inflammatoire au niveau de certains constituants du système cardiovasculaire, à savoir le coeur et l’artère aorte. Cette étude a été réalisée par l’évaluation de quelques paramètres hémodynamiques (pression artérielle moyenne, fréquence cardiaque et ECG) chez des rats envenimés avec 0,29 mg/kg (s.c) du venin d’</w:t>
      </w:r>
      <w:r w:rsidRPr="00760D67">
        <w:rPr>
          <w:rFonts w:asciiTheme="majorBidi" w:hAnsiTheme="majorBidi" w:cstheme="majorBidi"/>
          <w:i/>
          <w:iCs/>
          <w:lang w:val="fr-FR"/>
        </w:rPr>
        <w:t>Aah</w:t>
      </w:r>
      <w:r w:rsidRPr="00760D67">
        <w:rPr>
          <w:rFonts w:asciiTheme="majorBidi" w:hAnsiTheme="majorBidi" w:cstheme="majorBidi"/>
          <w:lang w:val="fr-FR"/>
        </w:rPr>
        <w:t>, en présence et en absence d’inhibiteurs de la rénine (Aliskiren, 100 mg/ kg/ 7 jours ; p.o) et de l’ECA (Captopril,15 mg / kg ; i.p) et d’antagonistes des récepteurs AT1 (Valsartan ; 15 mg/ kg/ 15 jours ; p.o) et ETA ( BQ123, 0,5 mg/ kg ; i.v). Cette étude a été poursuivie par la mesure au niveau sérique des concentrations en TNF-</w:t>
      </w:r>
      <w:r w:rsidRPr="00760D67">
        <w:rPr>
          <w:rFonts w:asciiTheme="majorBidi" w:hAnsiTheme="majorBidi" w:cstheme="majorBidi"/>
        </w:rPr>
        <w:t>α</w:t>
      </w:r>
      <w:r w:rsidRPr="00760D67">
        <w:rPr>
          <w:rFonts w:asciiTheme="majorBidi" w:hAnsiTheme="majorBidi" w:cstheme="majorBidi"/>
          <w:lang w:val="fr-FR"/>
        </w:rPr>
        <w:t xml:space="preserve">, en IL-4 et en IL-5 et par l’évaluation de l’infiltration des leucocytes et des paramètres de la balance oxydative (NO, MDA, H2O2, Catalase et GSH) ainsi que l’expression des métalloproteinases MMP-2 et MMP-9, chez des souris envenimées (0,5 mg / kg, s.c) ou prétraitées. L’étude a été complétée par l’analyse histologique du myocarde et de l’aorte ainsi que par la mesure de quelques marqueurs cardiaques (LDH,CK, CK-MB et cTnI). </w:t>
      </w: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lang w:val="fr-FR"/>
        </w:rPr>
        <w:t xml:space="preserve">Chez le groupe envenimé, les résultats ont révélé d’importantes perturbations hémodynamiques et des altérations tissulaires sévères avec une infiltration massive des cellules inflammatoires (neutrophiles et éosinophiles) dans le coeur et l'aorte. Un déséquilibre de la balance redox a été également observé. Cependant, l’inhibition des actions des différents composants du SRA ainsi que le blocage du récepteur à l’endothéline, ont révélé une atténuation des troubles hémodynamiques, des taux en cytokines et de l'infiltration leucocytaire ainsi que la réduction de la génération du stress oxydatif, de l’expression des MMPs et des lésions tissulaires. </w:t>
      </w: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lang w:val="fr-FR"/>
        </w:rPr>
        <w:t>Dans un second lieu, afin d’optimiser la stratégie thérapeutique contre le venin d’</w:t>
      </w:r>
      <w:r w:rsidRPr="00760D67">
        <w:rPr>
          <w:rFonts w:asciiTheme="majorBidi" w:hAnsiTheme="majorBidi" w:cstheme="majorBidi"/>
          <w:i/>
          <w:iCs/>
          <w:lang w:val="fr-FR"/>
        </w:rPr>
        <w:t>Aah</w:t>
      </w:r>
      <w:r w:rsidRPr="00760D67">
        <w:rPr>
          <w:rFonts w:asciiTheme="majorBidi" w:hAnsiTheme="majorBidi" w:cstheme="majorBidi"/>
          <w:lang w:val="fr-FR"/>
        </w:rPr>
        <w:t xml:space="preserve">, la production d’anticorps aviaires (IgY) chez des poules pondeuses, hyperimmunisées contre le venin a été testée. Les IgY ont été extraits à partir des jaunes d’oeufs selon la méthode des dilutions. La production des IgY a été évaluée par électrophorèse et leur titre a été déterminé par ELISA. L’efficacité des fragments Fab’, issus de l’hydrolyse des IgY, seuls ou en association au captopril a été testée </w:t>
      </w:r>
      <w:r w:rsidRPr="00760D67">
        <w:rPr>
          <w:rFonts w:asciiTheme="majorBidi" w:hAnsiTheme="majorBidi" w:cstheme="majorBidi"/>
          <w:i/>
          <w:iCs/>
          <w:lang w:val="fr-FR"/>
        </w:rPr>
        <w:t>in vivo</w:t>
      </w:r>
      <w:r w:rsidRPr="00760D67">
        <w:rPr>
          <w:rFonts w:asciiTheme="majorBidi" w:hAnsiTheme="majorBidi" w:cstheme="majorBidi"/>
          <w:lang w:val="fr-FR"/>
        </w:rPr>
        <w:t>, chez un modèle animal murin, par la mesure des paramètres de l’infiltration (MPO et EPO), du stress oxydant (NO, MDA, H2O2, catalase et GSH) et de quelques marqueurs cardiaques (LDH et CPK). une analyse histologique a également été réalisée. Les résultats obtenus indiquent d’une part, un bon rendement du protocole d’immunothérapie adopté avec des titres en IgY élevés (˃1 000 000), ainsi qu’une DE50 neutralisant 12DL50 du venin d’</w:t>
      </w:r>
      <w:r w:rsidRPr="00760D67">
        <w:rPr>
          <w:rFonts w:asciiTheme="majorBidi" w:hAnsiTheme="majorBidi" w:cstheme="majorBidi"/>
          <w:i/>
          <w:iCs/>
          <w:lang w:val="fr-FR"/>
        </w:rPr>
        <w:t xml:space="preserve">Aah. </w:t>
      </w:r>
      <w:r w:rsidRPr="00760D67">
        <w:rPr>
          <w:rFonts w:asciiTheme="majorBidi" w:hAnsiTheme="majorBidi" w:cstheme="majorBidi"/>
          <w:lang w:val="fr-FR"/>
        </w:rPr>
        <w:t xml:space="preserve">D’autre part, l’association des AC aviaires au captopril, s’est révélée efficace dans la neutralisation des effets physiopathologiques induits par le venin au niveau cardiovasculaire. </w:t>
      </w:r>
    </w:p>
    <w:p w:rsidR="00760D67" w:rsidRPr="00760D67" w:rsidRDefault="00760D67" w:rsidP="00760D67">
      <w:pPr>
        <w:pStyle w:val="Default"/>
        <w:spacing w:line="276" w:lineRule="auto"/>
        <w:jc w:val="both"/>
        <w:rPr>
          <w:rFonts w:asciiTheme="majorBidi" w:hAnsiTheme="majorBidi" w:cstheme="majorBidi"/>
          <w:lang w:val="fr-FR"/>
        </w:rPr>
      </w:pPr>
      <w:r w:rsidRPr="00760D67">
        <w:rPr>
          <w:rFonts w:asciiTheme="majorBidi" w:hAnsiTheme="majorBidi" w:cstheme="majorBidi"/>
          <w:lang w:val="fr-FR"/>
        </w:rPr>
        <w:t xml:space="preserve">L’ensemble des résultats démontre d’une part l'implication du SRA et de l’axe endothéline, dans la physiopathologie de l’ES. D’autre part, l’utilisation d’anticorps aviaires contre le </w:t>
      </w:r>
      <w:r w:rsidRPr="00760D67">
        <w:rPr>
          <w:rFonts w:asciiTheme="majorBidi" w:hAnsiTheme="majorBidi" w:cstheme="majorBidi"/>
          <w:lang w:val="fr-FR"/>
        </w:rPr>
        <w:lastRenderedPageBreak/>
        <w:t>venin d’</w:t>
      </w:r>
      <w:r w:rsidRPr="00760D67">
        <w:rPr>
          <w:rFonts w:asciiTheme="majorBidi" w:hAnsiTheme="majorBidi" w:cstheme="majorBidi"/>
          <w:i/>
          <w:iCs/>
          <w:lang w:val="fr-FR"/>
        </w:rPr>
        <w:t xml:space="preserve">Aah </w:t>
      </w:r>
      <w:r w:rsidRPr="00760D67">
        <w:rPr>
          <w:rFonts w:asciiTheme="majorBidi" w:hAnsiTheme="majorBidi" w:cstheme="majorBidi"/>
          <w:lang w:val="fr-FR"/>
        </w:rPr>
        <w:t xml:space="preserve">s’est révélée intéressante quant à l’efficacité de ces molécules, ce qui est encourageant dans l’adoption des IgY aviaire en tant qu’alternative aux IgG classiques. </w:t>
      </w:r>
    </w:p>
    <w:sectPr w:rsidR="00760D67" w:rsidRPr="00760D67" w:rsidSect="00760D67">
      <w:pgSz w:w="11906" w:h="16838"/>
      <w:pgMar w:top="851" w:right="1417" w:bottom="1417" w:left="1417"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hyphenationZone w:val="425"/>
  <w:characterSpacingControl w:val="doNotCompress"/>
  <w:compat/>
  <w:rsids>
    <w:rsidRoot w:val="00760D67"/>
    <w:rsid w:val="000E36A2"/>
    <w:rsid w:val="002B0506"/>
    <w:rsid w:val="005A6595"/>
    <w:rsid w:val="00760D67"/>
    <w:rsid w:val="00C426A5"/>
    <w:rsid w:val="00CA3D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3DE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760D6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578</Words>
  <Characters>3179</Characters>
  <Application>Microsoft Office Word</Application>
  <DocSecurity>0</DocSecurity>
  <Lines>26</Lines>
  <Paragraphs>7</Paragraphs>
  <ScaleCrop>false</ScaleCrop>
  <Company/>
  <LinksUpToDate>false</LinksUpToDate>
  <CharactersWithSpaces>3750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naima</cp:lastModifiedBy>
  <cp:revision>2</cp:revision>
  <dcterms:created xsi:type="dcterms:W3CDTF">2017-05-22T13:25:00Z</dcterms:created>
  <dcterms:modified xsi:type="dcterms:W3CDTF">2017-09-14T09:02:00Z</dcterms:modified>
</cp:coreProperties>
</file>