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AFD" w:rsidRPr="00B12347" w:rsidRDefault="00A24AFD" w:rsidP="00A24AFD">
      <w:pPr>
        <w:tabs>
          <w:tab w:val="left" w:pos="2370"/>
        </w:tabs>
        <w:spacing w:line="360" w:lineRule="auto"/>
        <w:jc w:val="center"/>
        <w:rPr>
          <w:rFonts w:ascii="Algerian" w:hAnsi="Algerian"/>
          <w:sz w:val="32"/>
          <w:szCs w:val="32"/>
          <w:lang w:val="fr-FR"/>
        </w:rPr>
      </w:pPr>
      <w:r w:rsidRPr="00B12347">
        <w:rPr>
          <w:rFonts w:ascii="Algerian" w:hAnsi="Algerian"/>
          <w:sz w:val="32"/>
          <w:szCs w:val="32"/>
          <w:lang w:val="fr-FR"/>
        </w:rPr>
        <w:t>RESUME</w:t>
      </w:r>
    </w:p>
    <w:p w:rsidR="00A24AFD" w:rsidRPr="00DE6BEF" w:rsidRDefault="00A24AFD" w:rsidP="00A24AFD">
      <w:pPr>
        <w:spacing w:line="360" w:lineRule="auto"/>
        <w:ind w:right="-284"/>
        <w:rPr>
          <w:rFonts w:asciiTheme="majorBidi" w:hAnsiTheme="majorBidi" w:cstheme="majorBidi"/>
          <w:sz w:val="24"/>
          <w:szCs w:val="24"/>
          <w:lang w:val="fr-FR"/>
        </w:rPr>
      </w:pPr>
      <w:r w:rsidRPr="00DE6BEF">
        <w:rPr>
          <w:sz w:val="24"/>
          <w:szCs w:val="24"/>
          <w:lang w:val="fr-FR"/>
        </w:rPr>
        <w:tab/>
      </w:r>
      <w:bookmarkStart w:id="0" w:name="PutAuthorsHere"/>
    </w:p>
    <w:bookmarkEnd w:id="0"/>
    <w:p w:rsidR="00A24AFD" w:rsidRPr="00DE6BEF" w:rsidRDefault="00A24AFD" w:rsidP="00A24AFD">
      <w:pPr>
        <w:pStyle w:val="En-tte"/>
        <w:spacing w:line="360" w:lineRule="auto"/>
        <w:ind w:firstLine="142"/>
        <w:jc w:val="both"/>
        <w:rPr>
          <w:i/>
          <w:iCs/>
          <w:sz w:val="24"/>
          <w:szCs w:val="24"/>
          <w:lang w:val="fr-FR"/>
        </w:rPr>
      </w:pPr>
      <w:r w:rsidRPr="00DE6BEF">
        <w:rPr>
          <w:rFonts w:eastAsia="Calibri"/>
          <w:i/>
          <w:iCs/>
          <w:sz w:val="24"/>
          <w:szCs w:val="24"/>
          <w:lang w:val="fr-FR"/>
        </w:rPr>
        <w:t>Le secteur de la construction devrait s’adapter à l'approche du développement durable pour répondre à ce qui est devenu une urgence sociale, la préservation de l'environnement et des ressources naturelles. Le recyclage complet du béton apporte des réponses à ces questions.</w:t>
      </w:r>
    </w:p>
    <w:p w:rsidR="00A24AFD" w:rsidRDefault="00A24AFD" w:rsidP="00A24AFD">
      <w:pPr>
        <w:tabs>
          <w:tab w:val="left" w:pos="142"/>
        </w:tabs>
        <w:autoSpaceDE w:val="0"/>
        <w:autoSpaceDN w:val="0"/>
        <w:adjustRightInd w:val="0"/>
        <w:spacing w:line="360" w:lineRule="auto"/>
        <w:jc w:val="both"/>
        <w:rPr>
          <w:i/>
          <w:iCs/>
          <w:sz w:val="24"/>
          <w:szCs w:val="24"/>
          <w:lang w:val="fr-FR"/>
        </w:rPr>
      </w:pPr>
      <w:r w:rsidRPr="00DE6BEF">
        <w:rPr>
          <w:i/>
          <w:iCs/>
          <w:sz w:val="24"/>
          <w:szCs w:val="24"/>
          <w:lang w:val="fr-FR"/>
        </w:rPr>
        <w:t xml:space="preserve">L'objectif de cette étude est d'évaluer les performances d'un béton courant </w:t>
      </w:r>
      <w:r>
        <w:rPr>
          <w:i/>
          <w:iCs/>
          <w:sz w:val="24"/>
          <w:szCs w:val="24"/>
          <w:lang w:val="fr-FR"/>
        </w:rPr>
        <w:t>composé</w:t>
      </w:r>
      <w:r w:rsidRPr="00DE6BEF">
        <w:rPr>
          <w:i/>
          <w:iCs/>
          <w:sz w:val="24"/>
          <w:szCs w:val="24"/>
          <w:lang w:val="fr-FR"/>
        </w:rPr>
        <w:t xml:space="preserve"> à partir de granulats recyclés. Des essais physiques et mécaniques de caractérisation ont été </w:t>
      </w:r>
      <w:r>
        <w:rPr>
          <w:i/>
          <w:iCs/>
          <w:sz w:val="24"/>
          <w:szCs w:val="24"/>
          <w:lang w:val="fr-FR"/>
        </w:rPr>
        <w:t xml:space="preserve">effectués </w:t>
      </w:r>
      <w:r w:rsidRPr="00DE6BEF">
        <w:rPr>
          <w:i/>
          <w:iCs/>
          <w:sz w:val="24"/>
          <w:szCs w:val="24"/>
          <w:lang w:val="fr-FR"/>
        </w:rPr>
        <w:t>sur les agrégats afin de mieux comprendre les effets de l’absorption. Un programme expérimental pour tester le béton frais a été réalisé en ce qui concerne l'ouvrabilité et la tribologie pour différentes substitutions d</w:t>
      </w:r>
      <w:r>
        <w:rPr>
          <w:i/>
          <w:iCs/>
          <w:sz w:val="24"/>
          <w:szCs w:val="24"/>
          <w:lang w:val="fr-FR"/>
        </w:rPr>
        <w:t xml:space="preserve">’agrégats </w:t>
      </w:r>
      <w:r w:rsidRPr="00DE6BEF">
        <w:rPr>
          <w:i/>
          <w:iCs/>
          <w:sz w:val="24"/>
          <w:szCs w:val="24"/>
          <w:lang w:val="fr-FR"/>
        </w:rPr>
        <w:t xml:space="preserve">recyclés avec un rapport constant et variable W/L. Des essais de résistance mécanique ont aussi été effectués. Les résultats montrent clairement une densité plus faible pour </w:t>
      </w:r>
      <w:r>
        <w:rPr>
          <w:i/>
          <w:iCs/>
          <w:sz w:val="24"/>
          <w:szCs w:val="24"/>
          <w:lang w:val="fr-FR"/>
        </w:rPr>
        <w:t xml:space="preserve"> ces </w:t>
      </w:r>
      <w:r w:rsidRPr="00DE6BEF">
        <w:rPr>
          <w:i/>
          <w:iCs/>
          <w:sz w:val="24"/>
          <w:szCs w:val="24"/>
          <w:lang w:val="fr-FR"/>
        </w:rPr>
        <w:t>gra</w:t>
      </w:r>
      <w:r>
        <w:rPr>
          <w:i/>
          <w:iCs/>
          <w:sz w:val="24"/>
          <w:szCs w:val="24"/>
          <w:lang w:val="fr-FR"/>
        </w:rPr>
        <w:t xml:space="preserve">villons </w:t>
      </w:r>
      <w:r w:rsidRPr="00037282">
        <w:rPr>
          <w:i/>
          <w:iCs/>
          <w:color w:val="000000" w:themeColor="text1"/>
          <w:sz w:val="24"/>
          <w:szCs w:val="24"/>
          <w:lang w:val="fr-FR"/>
        </w:rPr>
        <w:t>recyclés</w:t>
      </w:r>
      <w:r w:rsidRPr="00DE6BEF">
        <w:rPr>
          <w:i/>
          <w:iCs/>
          <w:sz w:val="24"/>
          <w:szCs w:val="24"/>
          <w:lang w:val="fr-FR"/>
        </w:rPr>
        <w:t>. Le taux de porosité est important, atteignant jusqu’à 17%, de plus que celui du gravier naturel. Les</w:t>
      </w:r>
      <w:r>
        <w:rPr>
          <w:i/>
          <w:iCs/>
          <w:sz w:val="24"/>
          <w:szCs w:val="24"/>
          <w:lang w:val="fr-FR"/>
        </w:rPr>
        <w:t xml:space="preserve"> tests </w:t>
      </w:r>
      <w:r w:rsidRPr="00DE6BEF">
        <w:rPr>
          <w:i/>
          <w:iCs/>
          <w:sz w:val="24"/>
          <w:szCs w:val="24"/>
          <w:lang w:val="fr-FR"/>
        </w:rPr>
        <w:t xml:space="preserve">mécaniques confirment une faible résistance à l'usure. Avec W/L constant, la diminution de la maniabilité est sensiblement dépendante de la teneur en  </w:t>
      </w:r>
      <w:r>
        <w:rPr>
          <w:i/>
          <w:iCs/>
          <w:sz w:val="24"/>
          <w:szCs w:val="24"/>
          <w:lang w:val="fr-FR"/>
        </w:rPr>
        <w:t xml:space="preserve"> pourcentage </w:t>
      </w:r>
      <w:r w:rsidRPr="00DE6BEF">
        <w:rPr>
          <w:i/>
          <w:iCs/>
          <w:sz w:val="24"/>
          <w:szCs w:val="24"/>
          <w:lang w:val="fr-FR"/>
        </w:rPr>
        <w:t xml:space="preserve">de recyclé, tandis que la résistance mécanique ne </w:t>
      </w:r>
      <w:r>
        <w:rPr>
          <w:i/>
          <w:iCs/>
          <w:sz w:val="24"/>
          <w:szCs w:val="24"/>
          <w:lang w:val="fr-FR"/>
        </w:rPr>
        <w:t>baisse</w:t>
      </w:r>
      <w:r w:rsidRPr="00DE6BEF">
        <w:rPr>
          <w:i/>
          <w:iCs/>
          <w:sz w:val="24"/>
          <w:szCs w:val="24"/>
          <w:lang w:val="fr-FR"/>
        </w:rPr>
        <w:t xml:space="preserve"> que légèrement. En termes de tribologie, l'interface de rendement de friction (</w:t>
      </w:r>
      <w:r w:rsidRPr="00DE6BEF">
        <w:rPr>
          <w:i/>
          <w:iCs/>
          <w:sz w:val="24"/>
          <w:szCs w:val="24"/>
        </w:rPr>
        <w:t>τ</w:t>
      </w:r>
      <w:r w:rsidRPr="00DE6BEF">
        <w:rPr>
          <w:i/>
          <w:iCs/>
          <w:sz w:val="24"/>
          <w:szCs w:val="24"/>
          <w:lang w:val="fr-FR"/>
        </w:rPr>
        <w:t xml:space="preserve">) augmente avec </w:t>
      </w:r>
      <w:r>
        <w:rPr>
          <w:i/>
          <w:iCs/>
          <w:sz w:val="24"/>
          <w:szCs w:val="24"/>
          <w:lang w:val="fr-FR"/>
        </w:rPr>
        <w:t xml:space="preserve">la quantité de </w:t>
      </w:r>
      <w:r w:rsidRPr="00DE6BEF">
        <w:rPr>
          <w:i/>
          <w:iCs/>
          <w:sz w:val="24"/>
          <w:szCs w:val="24"/>
          <w:lang w:val="fr-FR"/>
        </w:rPr>
        <w:t>granulats</w:t>
      </w:r>
      <w:r w:rsidRPr="00037282">
        <w:rPr>
          <w:i/>
          <w:iCs/>
          <w:color w:val="000000" w:themeColor="text1"/>
          <w:sz w:val="24"/>
          <w:szCs w:val="24"/>
          <w:lang w:val="fr-FR"/>
        </w:rPr>
        <w:t>recyclés</w:t>
      </w:r>
      <w:r w:rsidRPr="00DE6BEF">
        <w:rPr>
          <w:i/>
          <w:iCs/>
          <w:sz w:val="24"/>
          <w:szCs w:val="24"/>
          <w:lang w:val="fr-FR"/>
        </w:rPr>
        <w:t xml:space="preserve"> et la constante visqueuse (</w:t>
      </w:r>
      <w:r w:rsidRPr="00DE6BEF">
        <w:rPr>
          <w:i/>
          <w:iCs/>
          <w:sz w:val="24"/>
          <w:szCs w:val="24"/>
        </w:rPr>
        <w:t>η</w:t>
      </w:r>
      <w:r w:rsidRPr="00DE6BEF">
        <w:rPr>
          <w:i/>
          <w:iCs/>
          <w:sz w:val="24"/>
          <w:szCs w:val="24"/>
          <w:lang w:val="fr-FR"/>
        </w:rPr>
        <w:t>) de 100% recyclé atteint deux fois celle du béton naturel. L</w:t>
      </w:r>
      <w:r>
        <w:rPr>
          <w:i/>
          <w:iCs/>
          <w:sz w:val="24"/>
          <w:szCs w:val="24"/>
          <w:lang w:val="fr-FR"/>
        </w:rPr>
        <w:t>’</w:t>
      </w:r>
      <w:r w:rsidRPr="00BC7D38">
        <w:rPr>
          <w:i/>
          <w:iCs/>
          <w:sz w:val="24"/>
          <w:szCs w:val="24"/>
          <w:lang w:val="fr-FR"/>
        </w:rPr>
        <w:t>expérience</w:t>
      </w:r>
      <w:r w:rsidRPr="00DE6BEF">
        <w:rPr>
          <w:i/>
          <w:iCs/>
          <w:sz w:val="24"/>
          <w:szCs w:val="24"/>
          <w:lang w:val="fr-FR"/>
        </w:rPr>
        <w:t xml:space="preserve">avec ouvrabilité constante et un rapport W/L variable provoque une </w:t>
      </w:r>
      <w:r>
        <w:rPr>
          <w:i/>
          <w:iCs/>
          <w:sz w:val="24"/>
          <w:szCs w:val="24"/>
          <w:lang w:val="fr-FR"/>
        </w:rPr>
        <w:t xml:space="preserve">réduction </w:t>
      </w:r>
      <w:r w:rsidRPr="00DE6BEF">
        <w:rPr>
          <w:i/>
          <w:iCs/>
          <w:sz w:val="24"/>
          <w:szCs w:val="24"/>
          <w:lang w:val="fr-FR"/>
        </w:rPr>
        <w:t xml:space="preserve">des valeurs de la résistance à la compression approchant les 25%. Une troisième formulation dosée avec un superplastifiant, pour une maniabilité et un volume constant de pâte, donne des </w:t>
      </w:r>
      <w:r>
        <w:rPr>
          <w:i/>
          <w:iCs/>
          <w:sz w:val="24"/>
          <w:szCs w:val="24"/>
          <w:lang w:val="fr-FR"/>
        </w:rPr>
        <w:t>résultats</w:t>
      </w:r>
      <w:r w:rsidRPr="00DE6BEF">
        <w:rPr>
          <w:i/>
          <w:iCs/>
          <w:sz w:val="24"/>
          <w:szCs w:val="24"/>
          <w:lang w:val="fr-FR"/>
        </w:rPr>
        <w:t xml:space="preserve"> comparables à celle </w:t>
      </w:r>
      <w:r>
        <w:rPr>
          <w:i/>
          <w:iCs/>
          <w:sz w:val="24"/>
          <w:szCs w:val="24"/>
          <w:lang w:val="fr-FR"/>
        </w:rPr>
        <w:t xml:space="preserve">de l’élément </w:t>
      </w:r>
      <w:r w:rsidRPr="00DE6BEF">
        <w:rPr>
          <w:i/>
          <w:iCs/>
          <w:sz w:val="24"/>
          <w:szCs w:val="24"/>
          <w:lang w:val="fr-FR"/>
        </w:rPr>
        <w:t xml:space="preserve"> de référence avec une interface de rendement équivalente ainsi qu’une constante visqueuse légèrement supérieure.</w:t>
      </w:r>
    </w:p>
    <w:p w:rsidR="00A24AFD" w:rsidRPr="00DD2325" w:rsidRDefault="00A24AFD" w:rsidP="00A24AFD">
      <w:pPr>
        <w:autoSpaceDE w:val="0"/>
        <w:autoSpaceDN w:val="0"/>
        <w:adjustRightInd w:val="0"/>
        <w:spacing w:line="360" w:lineRule="auto"/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</w:pP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 xml:space="preserve">Une 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é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 xml:space="preserve">tude 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 xml:space="preserve">a été réalisé 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sur  l’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é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valuation de la faisabilité d'utiliser de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s sables de bétons concassé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s et des fines comme addition minérale dans les matéri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aux cimentaires. A partir des ré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sultats obtenus, il est possible d’apprécier dans quelle mesure ces fines sont compatibles ave</w:t>
      </w:r>
      <w:r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c les matrices cimentaires aux é</w:t>
      </w:r>
      <w:r w:rsidRPr="00DD2325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tats frais et durci.</w:t>
      </w:r>
    </w:p>
    <w:p w:rsidR="00A24AFD" w:rsidRPr="00DE6BEF" w:rsidRDefault="00A24AFD" w:rsidP="00A24AFD">
      <w:pPr>
        <w:autoSpaceDE w:val="0"/>
        <w:autoSpaceDN w:val="0"/>
        <w:adjustRightInd w:val="0"/>
        <w:rPr>
          <w:rFonts w:eastAsia="Calibri"/>
          <w:b/>
          <w:bCs/>
          <w:i/>
          <w:iCs/>
          <w:color w:val="000000"/>
          <w:sz w:val="24"/>
          <w:szCs w:val="24"/>
          <w:lang w:val="fr-FR"/>
        </w:rPr>
      </w:pPr>
      <w:bookmarkStart w:id="1" w:name="_GoBack"/>
      <w:bookmarkEnd w:id="1"/>
    </w:p>
    <w:sectPr w:rsidR="00A24AFD" w:rsidRPr="00DE6BEF" w:rsidSect="00B54B5A">
      <w:pgSz w:w="11906" w:h="16838" w:code="9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A24AFD"/>
    <w:rsid w:val="0035594A"/>
    <w:rsid w:val="003E303F"/>
    <w:rsid w:val="00957509"/>
    <w:rsid w:val="00A24AFD"/>
    <w:rsid w:val="00A9696C"/>
    <w:rsid w:val="00B54B5A"/>
    <w:rsid w:val="00E2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EE29A0-2C06-424E-A8A6-946B443E8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4AFD"/>
    <w:pPr>
      <w:jc w:val="left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24AFD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A24AFD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1871</Characters>
  <Application>Microsoft Office Word</Application>
  <DocSecurity>0</DocSecurity>
  <Lines>15</Lines>
  <Paragraphs>4</Paragraphs>
  <ScaleCrop>false</ScaleCrop>
  <Company/>
  <LinksUpToDate>false</LinksUpToDate>
  <CharactersWithSpaces>2207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naima</cp:lastModifiedBy>
  <cp:revision>4</cp:revision>
  <dcterms:created xsi:type="dcterms:W3CDTF">2017-11-14T07:09:00Z</dcterms:created>
  <dcterms:modified xsi:type="dcterms:W3CDTF">2018-03-01T09:29:00Z</dcterms:modified>
</cp:coreProperties>
</file>