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29"/>
          <w:szCs w:val="29"/>
        </w:rPr>
      </w:pPr>
      <w:r>
        <w:rPr>
          <w:rFonts w:ascii="URWPalladioL-Bold" w:hAnsi="URWPalladioL-Bold" w:cs="URWPalladioL-Bold"/>
          <w:b/>
          <w:bCs/>
          <w:sz w:val="29"/>
          <w:szCs w:val="29"/>
        </w:rPr>
        <w:t>Résumé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r>
        <w:rPr>
          <w:rFonts w:ascii="URWPalladioL-Roma" w:hAnsi="URWPalladioL-Roma" w:cs="URWPalladioL-Roma"/>
        </w:rPr>
        <w:t>Cette</w:t>
      </w:r>
      <w:bookmarkStart w:id="0" w:name="_GoBack"/>
      <w:bookmarkEnd w:id="0"/>
      <w:r>
        <w:rPr>
          <w:rFonts w:ascii="URWPalladioL-Roma" w:hAnsi="URWPalladioL-Roma" w:cs="URWPalladioL-Roma"/>
        </w:rPr>
        <w:t xml:space="preserve"> thèse s’inscrit en combinatoire énumérative et porte sur l’étude de la monotonie,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plus</w:t>
      </w:r>
      <w:proofErr w:type="gramEnd"/>
      <w:r>
        <w:rPr>
          <w:rFonts w:ascii="URWPalladioL-Roma" w:hAnsi="URWPalladioL-Roma" w:cs="URWPalladioL-Roma"/>
        </w:rPr>
        <w:t xml:space="preserve"> précisément de l’</w:t>
      </w:r>
      <w:proofErr w:type="spellStart"/>
      <w:r>
        <w:rPr>
          <w:rFonts w:ascii="URWPalladioL-Roma" w:hAnsi="URWPalladioL-Roma" w:cs="URWPalladioL-Roma"/>
        </w:rPr>
        <w:t>unimodalité</w:t>
      </w:r>
      <w:proofErr w:type="spellEnd"/>
      <w:r>
        <w:rPr>
          <w:rFonts w:ascii="URWPalladioL-Roma" w:hAnsi="URWPalladioL-Roma" w:cs="URWPalladioL-Roma"/>
        </w:rPr>
        <w:t xml:space="preserve"> des suites parcourant les transversales de triangles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arithmétiques</w:t>
      </w:r>
      <w:proofErr w:type="gramEnd"/>
      <w:r>
        <w:rPr>
          <w:rFonts w:ascii="URWPalladioL-Roma" w:hAnsi="URWPalladioL-Roma" w:cs="URWPalladioL-Roma"/>
        </w:rPr>
        <w:t xml:space="preserve"> classiques comme ceux de Pascal, de Lucas, de Stirling de première et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seconde</w:t>
      </w:r>
      <w:proofErr w:type="gramEnd"/>
      <w:r>
        <w:rPr>
          <w:rFonts w:ascii="URWPalladioL-Roma" w:hAnsi="URWPalladioL-Roma" w:cs="URWPalladioL-Roma"/>
        </w:rPr>
        <w:t xml:space="preserve"> espèce, de </w:t>
      </w:r>
      <w:proofErr w:type="spellStart"/>
      <w:r>
        <w:rPr>
          <w:rFonts w:ascii="URWPalladioL-Roma" w:hAnsi="URWPalladioL-Roma" w:cs="URWPalladioL-Roma"/>
        </w:rPr>
        <w:t>Lah</w:t>
      </w:r>
      <w:proofErr w:type="spellEnd"/>
      <w:r>
        <w:rPr>
          <w:rFonts w:ascii="URWPalladioL-Roma" w:hAnsi="URWPalladioL-Roma" w:cs="URWPalladioL-Roma"/>
        </w:rPr>
        <w:t>, d’Euler et d’autres.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r>
        <w:rPr>
          <w:rFonts w:ascii="URWPalladioL-Roma" w:hAnsi="URWPalladioL-Roma" w:cs="URWPalladioL-Roma"/>
        </w:rPr>
        <w:t>Dans un premier temps, nous étudions les suites liées aux transversales principales du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triangle</w:t>
      </w:r>
      <w:proofErr w:type="gramEnd"/>
      <w:r>
        <w:rPr>
          <w:rFonts w:ascii="URWPalladioL-Roma" w:hAnsi="URWPalladioL-Roma" w:cs="URWPalladioL-Roma"/>
        </w:rPr>
        <w:t xml:space="preserve"> de Stirling de seconde espèce, nous donnons leur interprétation combinatoire,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leur</w:t>
      </w:r>
      <w:proofErr w:type="gramEnd"/>
      <w:r>
        <w:rPr>
          <w:rFonts w:ascii="URWPalladioL-Roma" w:hAnsi="URWPalladioL-Roma" w:cs="URWPalladioL-Roma"/>
        </w:rPr>
        <w:t xml:space="preserve"> relation de récurrence, leur fonction génératrice ainsi qu’une forme explicite. Nous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établissons</w:t>
      </w:r>
      <w:proofErr w:type="gramEnd"/>
      <w:r>
        <w:rPr>
          <w:rFonts w:ascii="URWPalladioL-Roma" w:hAnsi="URWPalladioL-Roma" w:cs="URWPalladioL-Roma"/>
        </w:rPr>
        <w:t xml:space="preserve"> par la suite leur </w:t>
      </w:r>
      <w:proofErr w:type="spellStart"/>
      <w:r>
        <w:rPr>
          <w:rFonts w:ascii="URWPalladioL-Roma" w:hAnsi="URWPalladioL-Roma" w:cs="URWPalladioL-Roma"/>
        </w:rPr>
        <w:t>unimodalité</w:t>
      </w:r>
      <w:proofErr w:type="spellEnd"/>
      <w:r>
        <w:rPr>
          <w:rFonts w:ascii="URWPalladioL-Roma" w:hAnsi="URWPalladioL-Roma" w:cs="URWPalladioL-Roma"/>
        </w:rPr>
        <w:t xml:space="preserve"> en passant par la log-concavité. Nous généralisons,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en</w:t>
      </w:r>
      <w:proofErr w:type="gramEnd"/>
      <w:r>
        <w:rPr>
          <w:rFonts w:ascii="URWPalladioL-Roma" w:hAnsi="URWPalladioL-Roma" w:cs="URWPalladioL-Roma"/>
        </w:rPr>
        <w:t xml:space="preserve"> outre, nos résultats aux suites parcourant d’autres directions du dit triangle.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r>
        <w:rPr>
          <w:rFonts w:ascii="URWPalladioL-Roma" w:hAnsi="URWPalladioL-Roma" w:cs="URWPalladioL-Roma"/>
        </w:rPr>
        <w:t>Dans un second temps, nous établissons la log-concavité et l’</w:t>
      </w:r>
      <w:proofErr w:type="spellStart"/>
      <w:r>
        <w:rPr>
          <w:rFonts w:ascii="URWPalladioL-Roma" w:hAnsi="URWPalladioL-Roma" w:cs="URWPalladioL-Roma"/>
        </w:rPr>
        <w:t>unimodalité</w:t>
      </w:r>
      <w:proofErr w:type="spellEnd"/>
      <w:r>
        <w:rPr>
          <w:rFonts w:ascii="URWPalladioL-Roma" w:hAnsi="URWPalladioL-Roma" w:cs="URWPalladioL-Roma"/>
        </w:rPr>
        <w:t xml:space="preserve"> des lignes du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triangle</w:t>
      </w:r>
      <w:proofErr w:type="gramEnd"/>
      <w:r>
        <w:rPr>
          <w:rFonts w:ascii="URWPalladioL-Roma" w:hAnsi="URWPalladioL-Roma" w:cs="URWPalladioL-Roma"/>
        </w:rPr>
        <w:t xml:space="preserve"> de Stirling 3-associés de seconde espèce, le cas des nombres de Stirling 2-associés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de</w:t>
      </w:r>
      <w:proofErr w:type="gramEnd"/>
      <w:r>
        <w:rPr>
          <w:rFonts w:ascii="URWPalladioL-Roma" w:hAnsi="URWPalladioL-Roma" w:cs="URWPalladioL-Roma"/>
        </w:rPr>
        <w:t xml:space="preserve"> seconde espèce étant résolu par </w:t>
      </w:r>
      <w:proofErr w:type="spellStart"/>
      <w:r>
        <w:rPr>
          <w:rFonts w:ascii="URWPalladioL-Roma" w:hAnsi="URWPalladioL-Roma" w:cs="URWPalladioL-Roma"/>
        </w:rPr>
        <w:t>Bóna</w:t>
      </w:r>
      <w:proofErr w:type="spellEnd"/>
      <w:r>
        <w:rPr>
          <w:rFonts w:ascii="URWPalladioL-Roma" w:hAnsi="URWPalladioL-Roma" w:cs="URWPalladioL-Roma"/>
        </w:rPr>
        <w:t xml:space="preserve"> et </w:t>
      </w:r>
      <w:proofErr w:type="spellStart"/>
      <w:r>
        <w:rPr>
          <w:rFonts w:ascii="URWPalladioL-Roma" w:hAnsi="URWPalladioL-Roma" w:cs="URWPalladioL-Roma"/>
        </w:rPr>
        <w:t>Mez</w:t>
      </w:r>
      <w:r>
        <w:rPr>
          <w:rFonts w:ascii="Arial" w:hAnsi="Arial" w:cs="Arial"/>
        </w:rPr>
        <w:t>˝</w:t>
      </w:r>
      <w:r>
        <w:rPr>
          <w:rFonts w:ascii="URWPalladioL-Roma" w:hAnsi="URWPalladioL-Roma" w:cs="URWPalladioL-Roma"/>
        </w:rPr>
        <w:t>o</w:t>
      </w:r>
      <w:proofErr w:type="spellEnd"/>
      <w:r>
        <w:rPr>
          <w:rFonts w:ascii="URWPalladioL-Roma" w:hAnsi="URWPalladioL-Roma" w:cs="URWPalladioL-Roma"/>
        </w:rPr>
        <w:t>.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r>
        <w:rPr>
          <w:rFonts w:ascii="URWPalladioL-Roma" w:hAnsi="URWPalladioL-Roma" w:cs="URWPalladioL-Roma"/>
        </w:rPr>
        <w:t>Enfin, nous donnons des interprétations combinatoires aux suites parcourant des directions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dans</w:t>
      </w:r>
      <w:proofErr w:type="gramEnd"/>
      <w:r>
        <w:rPr>
          <w:rFonts w:ascii="URWPalladioL-Roma" w:hAnsi="URWPalladioL-Roma" w:cs="URWPalladioL-Roma"/>
        </w:rPr>
        <w:t xml:space="preserve"> les triangles issus des nombres de </w:t>
      </w:r>
      <w:proofErr w:type="spellStart"/>
      <w:r>
        <w:rPr>
          <w:rFonts w:ascii="URWPalladioL-Roma" w:hAnsi="URWPalladioL-Roma" w:cs="URWPalladioL-Roma"/>
        </w:rPr>
        <w:t>Lah</w:t>
      </w:r>
      <w:proofErr w:type="spellEnd"/>
      <w:r>
        <w:rPr>
          <w:rFonts w:ascii="URWPalladioL-Roma" w:hAnsi="URWPalladioL-Roma" w:cs="URWPalladioL-Roma"/>
        </w:rPr>
        <w:t>, des nombres de Stirling de première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espèce</w:t>
      </w:r>
      <w:proofErr w:type="gramEnd"/>
      <w:r>
        <w:rPr>
          <w:rFonts w:ascii="URWPalladioL-Roma" w:hAnsi="URWPalladioL-Roma" w:cs="URWPalladioL-Roma"/>
        </w:rPr>
        <w:t xml:space="preserve"> et des nombres Eulériens. Nous donnons aussi les relations de récurrences et nous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établissons</w:t>
      </w:r>
      <w:proofErr w:type="gramEnd"/>
      <w:r>
        <w:rPr>
          <w:rFonts w:ascii="URWPalladioL-Roma" w:hAnsi="URWPalladioL-Roma" w:cs="URWPalladioL-Roma"/>
        </w:rPr>
        <w:t xml:space="preserve"> l’</w:t>
      </w:r>
      <w:proofErr w:type="spellStart"/>
      <w:r>
        <w:rPr>
          <w:rFonts w:ascii="URWPalladioL-Roma" w:hAnsi="URWPalladioL-Roma" w:cs="URWPalladioL-Roma"/>
        </w:rPr>
        <w:t>unimodalité</w:t>
      </w:r>
      <w:proofErr w:type="spellEnd"/>
      <w:r>
        <w:rPr>
          <w:rFonts w:ascii="URWPalladioL-Roma" w:hAnsi="URWPalladioL-Roma" w:cs="URWPalladioL-Roma"/>
        </w:rPr>
        <w:t xml:space="preserve"> des suites parcourant les transversales principales du triangle</w:t>
      </w:r>
    </w:p>
    <w:p w:rsidR="001E3627" w:rsidRDefault="001E3627" w:rsidP="001E3627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</w:rPr>
      </w:pPr>
      <w:proofErr w:type="gramStart"/>
      <w:r>
        <w:rPr>
          <w:rFonts w:ascii="URWPalladioL-Roma" w:hAnsi="URWPalladioL-Roma" w:cs="URWPalladioL-Roma"/>
        </w:rPr>
        <w:t>des</w:t>
      </w:r>
      <w:proofErr w:type="gramEnd"/>
      <w:r>
        <w:rPr>
          <w:rFonts w:ascii="URWPalladioL-Roma" w:hAnsi="URWPalladioL-Roma" w:cs="URWPalladioL-Roma"/>
        </w:rPr>
        <w:t xml:space="preserve"> nombres de </w:t>
      </w:r>
      <w:proofErr w:type="spellStart"/>
      <w:r>
        <w:rPr>
          <w:rFonts w:ascii="URWPalladioL-Roma" w:hAnsi="URWPalladioL-Roma" w:cs="URWPalladioL-Roma"/>
        </w:rPr>
        <w:t>Lah</w:t>
      </w:r>
      <w:proofErr w:type="spellEnd"/>
      <w:r>
        <w:rPr>
          <w:rFonts w:ascii="URWPalladioL-Roma" w:hAnsi="URWPalladioL-Roma" w:cs="URWPalladioL-Roma"/>
        </w:rPr>
        <w:t>.</w:t>
      </w:r>
    </w:p>
    <w:p w:rsidR="00F93B60" w:rsidRDefault="00F93B60" w:rsidP="001E3627"/>
    <w:sectPr w:rsidR="00F93B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URWPalladioL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RWPalladioL-Roma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627"/>
    <w:rsid w:val="001E3627"/>
    <w:rsid w:val="00F93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0674BD-37D6-40E0-A3DB-63C7F9995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208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 asus</dc:creator>
  <cp:keywords/>
  <dc:description/>
  <cp:lastModifiedBy>pc asus</cp:lastModifiedBy>
  <cp:revision>1</cp:revision>
  <dcterms:created xsi:type="dcterms:W3CDTF">2016-06-16T11:47:00Z</dcterms:created>
  <dcterms:modified xsi:type="dcterms:W3CDTF">2016-06-16T11:50:00Z</dcterms:modified>
</cp:coreProperties>
</file>