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4C55" w:rsidRDefault="008E4C55" w:rsidP="008E4C55">
      <w:r>
        <w:t xml:space="preserve">L'analyse </w:t>
      </w:r>
      <w:proofErr w:type="spellStart"/>
      <w:r>
        <w:t>exergétique</w:t>
      </w:r>
      <w:proofErr w:type="spellEnd"/>
      <w:r>
        <w:t xml:space="preserve"> appliquée à l'industrie de ciment rapportée par la littérature a identifié les procédés de cuisson et de broyage du clinker comme les procédés les plus dégradants d'énergie. La recherche d'un minimum de perte </w:t>
      </w:r>
      <w:proofErr w:type="spellStart"/>
      <w:r>
        <w:t>exergétique</w:t>
      </w:r>
      <w:proofErr w:type="spellEnd"/>
      <w:r>
        <w:t xml:space="preserve"> envers les contraintes globales de ces procédés passe principalement par la compréhension et l'identification des mécanismes et des causes qui président à leur imperfection thermodynamique. </w:t>
      </w:r>
    </w:p>
    <w:p w:rsidR="008E4C55" w:rsidRDefault="008E4C55" w:rsidP="008E4C55">
      <w:r>
        <w:t>Dans une première partie, les procédés de refroidissement du clinker et de préchauffage de la  farine crue de deux unités industrielles sont approchés respectivement par une série de contacteurs gaz-solide parfaitement agités et une cascade de mélangeurs parfaits avec reflux de poussière. Ces modèles sont validés par des mesures expérimentales. Ils permettent de prédire la dégradation d'énergie associée aux différents phénomènes physico-chimiques mis en jeu pour  différentes conditions opératoires réelles de fonctionnement de ces procédés. L'influence des paramètres adimensionnels tels que : le nombre d'étages, la vitesse massique de l'air et les  rapports des débits de capacité thermique,  des températures et de la hauteur du lit sur le diamètre de la particule, sur la production d'entropie dans le refroidisseur ont été étudiés. Les résultats des tests de sensibilité du nombre de production d'entropie ont montré qu'il est inutile de refroidir le clinker par une température d'air basse, mais au contraire, il convient d'utiliser une température aussi haute que possible. L'étude du préchauffeur à cyclones a montré que la température du gaz entrant et le nombre d'étages des cyclones ont une influence très significative sur les pertes d'</w:t>
      </w:r>
      <w:proofErr w:type="spellStart"/>
      <w:r>
        <w:t>exergie</w:t>
      </w:r>
      <w:proofErr w:type="spellEnd"/>
      <w:r>
        <w:t xml:space="preserve"> physique et chimique. L'augmentation de la température du gaz engendre d'importantes irréversibilités associées à l'échange thermique et à l'accélération de l'avancement de la réaction de décomposition du carbonate de calcium. Il apparaît donc certainement judicieux d'optimiser cette température pour minimiser la perte spécifique d'</w:t>
      </w:r>
      <w:proofErr w:type="spellStart"/>
      <w:r>
        <w:t>exergie</w:t>
      </w:r>
      <w:proofErr w:type="spellEnd"/>
      <w:r>
        <w:t xml:space="preserve">. Toutefois, la perte </w:t>
      </w:r>
      <w:proofErr w:type="spellStart"/>
      <w:r>
        <w:t>exergétique</w:t>
      </w:r>
      <w:proofErr w:type="spellEnd"/>
      <w:r>
        <w:t xml:space="preserve"> associée à la réaction chimique  reste peu significative comparée à celle de l'échange thermique.</w:t>
      </w:r>
    </w:p>
    <w:p w:rsidR="004921AD" w:rsidRDefault="008E4C55" w:rsidP="008E4C55">
      <w:r>
        <w:t xml:space="preserve">Dans une deuxième partie, le broyage discontinu du clinker dans un broyeur à boulets de laboratoire équipé d'un dispositif de mesure du couple résistant est analysé. Dans les premiers instants de broyage, on observe une bonne concordance entre les distributions granulométriques mesurées et calculées par l'approche cinétique-énergétique du modèle de bilan de population. La fonction spécifique de sélection intervient par le choix de la dimension des corps </w:t>
      </w:r>
      <w:proofErr w:type="spellStart"/>
      <w:r>
        <w:t>broyants</w:t>
      </w:r>
      <w:proofErr w:type="spellEnd"/>
      <w:r>
        <w:t xml:space="preserve"> pour atteindre une finesse donnée avec un minimum de consommation spécifique d'énergie. Le facteur d'efficacité énergétique défini pour la production de la finesse Blaine désirée de 3500 cm2/g est quantifié pour l'intervalle de taille (1-0,71mm). Les résultats obtenus montrent que le fonctionnement dans des conditions telles que la fonction spécifique de sélection soit maximale conduit à une dépense spécifique d'énergie importante; résultats qui infirment ceux d'autres travaux dans le domaine qui cherchent à maximiser la vitesse initiale de réduction de taille.</w:t>
      </w:r>
    </w:p>
    <w:sectPr w:rsidR="004921AD" w:rsidSect="004921AD">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E4C55"/>
    <w:rsid w:val="004921AD"/>
    <w:rsid w:val="008E4C5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21AD"/>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492</Words>
  <Characters>2711</Characters>
  <Application>Microsoft Office Word</Application>
  <DocSecurity>0</DocSecurity>
  <Lines>22</Lines>
  <Paragraphs>6</Paragraphs>
  <ScaleCrop>false</ScaleCrop>
  <Company/>
  <LinksUpToDate>false</LinksUpToDate>
  <CharactersWithSpaces>3197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2014-12-07T13:09:00Z</dcterms:created>
  <dcterms:modified xsi:type="dcterms:W3CDTF">2014-12-07T13:10:00Z</dcterms:modified>
</cp:coreProperties>
</file>