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30C8" w:rsidRDefault="00A430C8" w:rsidP="00A430C8">
      <w:r>
        <w:t xml:space="preserve">Scorpaena  porcus (Linnaeus, 1758), plus connue sous le nom de rascasse brune, appartient à la famille des Scorpeanidae. </w:t>
      </w:r>
    </w:p>
    <w:p w:rsidR="00A430C8" w:rsidRDefault="00A430C8" w:rsidP="00A430C8">
      <w:r>
        <w:t>L'étude  écologique de cette espèce est basée sur  des données recueillies au cours de la campagne de prospection des fonds marins algériens, en 1982, par le navire océanographique " Thalassa " et  par les chalutiers " Ichthys et Joamy " ; des spécimens de différentes gammes de taille et  de poids de l'espèces ciblée, récoltés à partir des apports de la pêche commerciale de la région d'Alger ont fait l'objet d'une étude biologique portée sur le régime alimentaire, la reproduction et la croissance .</w:t>
      </w:r>
    </w:p>
    <w:p w:rsidR="00A430C8" w:rsidRDefault="00A430C8" w:rsidP="00A430C8">
      <w:r>
        <w:t>En Algérie, la rascasse brune est présente  sur des fonds de vase à des profondeurs  inférieures à 130m ; le minimum dont elles a besoin est de pouvoir se camoufler dans une cavité, qu'elle soit rocheuse ou d'autre nature.</w:t>
      </w:r>
    </w:p>
    <w:p w:rsidR="00A430C8" w:rsidRDefault="00A430C8" w:rsidP="00A430C8">
      <w:r>
        <w:t xml:space="preserve">Les différentes parties du tractus digestif sont  bien individualisées anatomiquement avec la présence d'un estomac de type caecal,  très glandulaire.  L'œsophage, à paroi importante, est marqué par un l'épithélium de la muqueuse pseudostratifié, riche en cellules muqueuse. </w:t>
      </w:r>
    </w:p>
    <w:p w:rsidR="00A430C8" w:rsidRDefault="00A430C8" w:rsidP="00A430C8">
      <w:r>
        <w:t>L'inventaire des proies montre une diversification importante de son régime alimentaire (47 espèces) répartis sur différents groupes  zoologiques.</w:t>
      </w:r>
    </w:p>
    <w:p w:rsidR="00A430C8" w:rsidRDefault="00A430C8" w:rsidP="00A430C8">
      <w:r>
        <w:t xml:space="preserve">Les brachyoures (crabes) constituent les proies préférentielles des deux sexes de S. porcus, alors que  les autres crustacés décapodes et poissons sont des proies secondaires.  </w:t>
      </w:r>
    </w:p>
    <w:p w:rsidR="00A430C8" w:rsidRDefault="00A430C8" w:rsidP="00A430C8">
      <w:r>
        <w:t>Le taux global de sex-ratio est significativement  en faveur des femelles .Le suivi mensuel de la maturité sexuelle, permis de déterminer la période de reproduction qui est estivale  (juin à août) et un mode ovipare de cette espèce ; en plus  ainsi l'implication des réserves hépatiques dans l'élaboration des gamètes. La taille à la première maturité est de l'ordre de 17,8 cm pour les femelles et de18,8 cm pour les mâles. La structure histologique des testicules est  semi-cystique selon le stade de maturation des cellules germinales;  celle des ovaires présente quelques caractéristiques dont le principal est la présence, dans la cavité centrale, de stroma aux jeunes stades et  de matrice gélatineuse à l'état mûr.</w:t>
      </w:r>
    </w:p>
    <w:p w:rsidR="00A430C8" w:rsidRDefault="00A430C8" w:rsidP="00A430C8">
      <w:r>
        <w:t xml:space="preserve">Les femelles de 18 à 24 cm de taille contribuent à 76% de la production d'œufs pour le renouvellement du stock. </w:t>
      </w:r>
    </w:p>
    <w:p w:rsidR="00A430C8" w:rsidRDefault="00A430C8" w:rsidP="00A430C8">
      <w:r>
        <w:t xml:space="preserve">La croissance linéaire  par l'analyse des structures d'âge en utilisant la méthode directe, qui consiste à effectuer des lectures d'otolithes, nous a permis de déterminer cinq groupes d'âge pour les mâles  et six  pour les femelles et à sexes confondus. Les  paramètres de croissance du modèle Von Bertalanffy de la population examinée, permet d'aboutir a des résultats très proches des autre travaux effectués en Méditerranée.  </w:t>
      </w:r>
    </w:p>
    <w:p w:rsidR="00A430C8" w:rsidRDefault="00A430C8" w:rsidP="00A430C8"/>
    <w:p w:rsidR="00BD65BF" w:rsidRDefault="00BD65BF"/>
    <w:sectPr w:rsidR="00BD65BF" w:rsidSect="00BD65B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A430C8"/>
    <w:rsid w:val="00A430C8"/>
    <w:rsid w:val="00BD65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65B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418</Words>
  <Characters>2299</Characters>
  <Application>Microsoft Office Word</Application>
  <DocSecurity>0</DocSecurity>
  <Lines>19</Lines>
  <Paragraphs>5</Paragraphs>
  <ScaleCrop>false</ScaleCrop>
  <Company/>
  <LinksUpToDate>false</LinksUpToDate>
  <CharactersWithSpaces>2712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2015-01-13T09:32:00Z</dcterms:created>
  <dcterms:modified xsi:type="dcterms:W3CDTF">2015-01-13T09:33:00Z</dcterms:modified>
</cp:coreProperties>
</file>