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5635" w:rsidRPr="00701461" w:rsidRDefault="006D61AE" w:rsidP="007766E4">
      <w:pPr>
        <w:jc w:val="center"/>
        <w:rPr>
          <w:b/>
          <w:bCs/>
        </w:rPr>
      </w:pPr>
      <w:r w:rsidRPr="006D61AE">
        <w:rPr>
          <w:rFonts w:cs="Times New Roman"/>
          <w:b/>
          <w:bCs/>
          <w:noProof/>
          <w:lang w:eastAsia="fr-FR"/>
        </w:rPr>
        <w:pict>
          <v:line id="Connecteur droit 3" o:spid="_x0000_s1026" style="position:absolute;left:0;text-align:left;z-index:251660288;visibility:visible;mso-width-relative:margin;mso-height-relative:margin" from="-47.5pt,22.2pt" to="502.1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N9CzgEAAAEEAAAOAAAAZHJzL2Uyb0RvYy54bWysU8GO2yAQvVfqPyDujZ2stG2sOHvIanup&#10;2qjtfgCLhxgJGARs7Px9B5w4q7ZS1dVesAfmvZn3GDZ3ozXsCCFqdC1fLmrOwEnstDu0/PHnw4dP&#10;nMUkXCcMOmj5CSK/275/txl8Ayvs0XQQGJG42Ay+5X1KvqmqKHuwIi7Qg6NDhcGKRGE4VF0QA7Fb&#10;U63q+rYaMHQ+oIQYafd+OuTbwq8UyPRNqQiJmZZTb6msoaxPea22G9EcgvC9luc2xCu6sEI7KjpT&#10;3Ysk2HPQf1BZLQNGVGkh0VaolJZQNJCaZf2bmh+98FC0kDnRzzbFt6OVX4/7wHTX8hvOnLB0RTt0&#10;jnyD58C6gDqxm+zS4GNDyTu3D+co+n3IkkcVbP6SGDYWZ0+zszAmJmnzdv1xvV7RBcjLWXUF+hDT&#10;Z0DL8k/LjXZZtGjE8UtMVIxSLyl527i8RjS6e9DGlCCPC+xMYEdBF53GZW6ZcC+yKMrIKguZWi9/&#10;6WRgYv0OioygZpelehnBK6eQEly68BpH2RmmqIMZWP8beM7PUCjj+T/gGVEqo0sz2GqH4W/Vr1ao&#10;Kf/iwKQ7W/CE3alcarGG5qw4d34TeZBfxgV+fbnbXwAAAP//AwBQSwMEFAAGAAgAAAAhAOAQWR/g&#10;AAAACgEAAA8AAABkcnMvZG93bnJldi54bWxMj8FuwjAQRO9I/QdrK/WCwC4NqE3joCoSlx4qlSDU&#10;o4mXOGq8jmJDwt/XqAc4zs5o9k22Hm3Lztj7xpGE57kAhlQ53VAtYVduZq/AfFCkVesIJVzQwzp/&#10;mGQq1W6gbzxvQ81iCflUSTAhdCnnvjJolZ+7Dil6R9dbFaLsa657NcRy2/KFECtuVUPxg1EdFgar&#10;3+3JSvippy+bfUnlUISv48qMl/3nspDy6XH8eAcWcAy3MFzxIzrkkengTqQ9ayXM3pZxS5CQJAmw&#10;a0CIZAHs8H/hecbvJ+R/AAAA//8DAFBLAQItABQABgAIAAAAIQC2gziS/gAAAOEBAAATAAAAAAAA&#10;AAAAAAAAAAAAAABbQ29udGVudF9UeXBlc10ueG1sUEsBAi0AFAAGAAgAAAAhADj9If/WAAAAlAEA&#10;AAsAAAAAAAAAAAAAAAAALwEAAF9yZWxzLy5yZWxzUEsBAi0AFAAGAAgAAAAhAJh830LOAQAAAQQA&#10;AA4AAAAAAAAAAAAAAAAALgIAAGRycy9lMm9Eb2MueG1sUEsBAi0AFAAGAAgAAAAhAOAQWR/gAAAA&#10;CgEAAA8AAAAAAAAAAAAAAAAAKAQAAGRycy9kb3ducmV2LnhtbFBLBQYAAAAABAAEAPMAAAA1BQAA&#10;AAA=&#10;" strokecolor="black [3213]" strokeweight=".5pt">
            <v:stroke joinstyle="miter"/>
          </v:line>
        </w:pict>
      </w:r>
      <w:r w:rsidRPr="006D61AE">
        <w:rPr>
          <w:rFonts w:cs="Times New Roman"/>
          <w:b/>
          <w:bCs/>
          <w:noProof/>
          <w:lang w:eastAsia="fr-FR"/>
        </w:rPr>
        <w:pict>
          <v:line id="Connecteur droit 5" o:spid="_x0000_s1027" style="position:absolute;left:0;text-align:left;z-index:251661312;visibility:visible;mso-width-relative:margin;mso-height-relative:margin" from="-47.15pt,18.85pt" to="502.45pt,1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7tGzgEAAAEEAAAOAAAAZHJzL2Uyb0RvYy54bWysU8GO2yAQvVfqPyDujZ1Iu22sOHvIanup&#10;2qjtfgCLhxgJGARs7Px9B5w4q7ZS1dVesAfmvZn3GDZ3ozXsCCFqdC1fLmrOwEnstDu0/PHnw4dP&#10;nMUkXCcMOmj5CSK/275/txl8Ayvs0XQQGJG42Ay+5X1KvqmqKHuwIi7Qg6NDhcGKRGE4VF0QA7Fb&#10;U63q+rYaMHQ+oIQYafd+OuTbwq8UyPRNqQiJmZZTb6msoaxPea22G9EcgvC9luc2xCu6sEI7KjpT&#10;3Ysk2HPQf1BZLQNGVGkh0VaolJZQNJCaZf2bmh+98FC0kDnRzzbFt6OVX4/7wHTX8hvOnLB0RTt0&#10;jnyD58C6gDqxm+zS4GNDyTu3D+co+n3IkkcVbP6SGDYWZ0+zszAmJmnzdv1xvV7RBcjLWXUF+hDT&#10;Z0DL8k/LjXZZtGjE8UtMVIxSLyl527i8RjS6e9DGlCCPC+xMYEdBF53GZW6ZcC+yKMrIKguZWi9/&#10;6WRgYv0OioygZpelehnBK6eQEly68BpH2RmmqIMZWP8beM7PUCjj+T/gGVEqo0sz2GqH4W/Vr1ao&#10;Kf/iwKQ7W/CE3alcarGG5qw4d34TeZBfxgV+fbnbXwAAAP//AwBQSwMEFAAGAAgAAAAhAI1IEm7g&#10;AAAACgEAAA8AAABkcnMvZG93bnJldi54bWxMj8tOwzAQRfdI/IM1SGxQa0NKH2mcCkXqhgVSG1Sx&#10;dONpHBGPo9ht0r/HFQtYzszRnXOzzWhbdsHeN44kPE8FMKTK6YZqCZ/ldrIE5oMirVpHKOGKHjb5&#10;/V2mUu0G2uFlH2oWQ8inSoIJoUs595VBq/zUdUjxdnK9VSGOfc11r4YYblv+IsScW9VQ/GBUh4XB&#10;6nt/thK+6qdkeyipHIrwcZqb8Xp4fy2kfHwY39bAAo7hD4abflSHPDod3Zm0Z62EyWqWRFRCslgA&#10;uwFCzFbAjr8bnmf8f4X8BwAA//8DAFBLAQItABQABgAIAAAAIQC2gziS/gAAAOEBAAATAAAAAAAA&#10;AAAAAAAAAAAAAABbQ29udGVudF9UeXBlc10ueG1sUEsBAi0AFAAGAAgAAAAhADj9If/WAAAAlAEA&#10;AAsAAAAAAAAAAAAAAAAALwEAAF9yZWxzLy5yZWxzUEsBAi0AFAAGAAgAAAAhADOzu0bOAQAAAQQA&#10;AA4AAAAAAAAAAAAAAAAALgIAAGRycy9lMm9Eb2MueG1sUEsBAi0AFAAGAAgAAAAhAI1IEm7gAAAA&#10;CgEAAA8AAAAAAAAAAAAAAAAAKAQAAGRycy9kb3ducmV2LnhtbFBLBQYAAAAABAAEAPMAAAA1BQAA&#10;AAA=&#10;" strokecolor="black [3213]" strokeweight=".5pt">
            <v:stroke joinstyle="miter"/>
          </v:line>
        </w:pict>
      </w:r>
      <w:r w:rsidR="00015635" w:rsidRPr="00701461">
        <w:rPr>
          <w:b/>
          <w:bCs/>
        </w:rPr>
        <w:t>Résumé </w:t>
      </w:r>
    </w:p>
    <w:p w:rsidR="009E094E" w:rsidRPr="00701461" w:rsidRDefault="00015635" w:rsidP="00B55E7C">
      <w:pPr>
        <w:spacing w:line="240" w:lineRule="auto"/>
        <w:jc w:val="both"/>
        <w:rPr>
          <w:rFonts w:asciiTheme="majorBidi" w:hAnsiTheme="majorBidi" w:cstheme="majorBidi"/>
          <w:szCs w:val="24"/>
          <w:shd w:val="clear" w:color="auto" w:fill="FFFFFF"/>
        </w:rPr>
      </w:pPr>
      <w:r w:rsidRPr="00701461">
        <w:rPr>
          <w:rFonts w:cs="Times New Roman"/>
        </w:rPr>
        <w:t xml:space="preserve">Ce travail constitue une </w:t>
      </w:r>
      <w:r w:rsidR="007B2327" w:rsidRPr="00701461">
        <w:t xml:space="preserve">contribution </w:t>
      </w:r>
      <w:r w:rsidR="004934B2" w:rsidRPr="00701461">
        <w:t>au traitement des déchets à radioactivité naturelle renforcée</w:t>
      </w:r>
      <w:r w:rsidR="006F2DF5">
        <w:t xml:space="preserve">. Il s’avère que l’industrie du pétrole génère des quantités importantes de déchets à forte concentration en radium (Ra-226). En effet, </w:t>
      </w:r>
      <w:r w:rsidR="00EA35B8" w:rsidRPr="00701461">
        <w:t>l</w:t>
      </w:r>
      <w:r w:rsidR="00122FDF" w:rsidRPr="00701461">
        <w:t>es eaux</w:t>
      </w:r>
      <w:r w:rsidR="001658E4" w:rsidRPr="00701461">
        <w:t xml:space="preserve"> des réservoirs de pétrole</w:t>
      </w:r>
      <w:r w:rsidR="002E21AB">
        <w:t xml:space="preserve"> </w:t>
      </w:r>
      <w:r w:rsidR="001658E4" w:rsidRPr="00701461">
        <w:t>contiennent sous forme dissoute une certaine concentration en</w:t>
      </w:r>
      <w:r w:rsidR="00CB5859">
        <w:t xml:space="preserve"> radium ainsi que</w:t>
      </w:r>
      <w:r w:rsidR="001658E4" w:rsidRPr="00701461">
        <w:t xml:space="preserve"> ses produits de désintégration. </w:t>
      </w:r>
      <w:r w:rsidR="006F2DF5">
        <w:t>Au cours du forage, c</w:t>
      </w:r>
      <w:r w:rsidR="001658E4" w:rsidRPr="00701461">
        <w:t>es radionucléides sont entraînés lors du pompage du pétrole</w:t>
      </w:r>
      <w:r w:rsidR="006F2DF5">
        <w:t>. L</w:t>
      </w:r>
      <w:r w:rsidR="001658E4" w:rsidRPr="00701461">
        <w:t xml:space="preserve">es modifications de pression et température </w:t>
      </w:r>
      <w:r w:rsidR="006F2DF5">
        <w:t>du processus d’extraction du pétrole conduisent</w:t>
      </w:r>
      <w:r w:rsidR="001658E4" w:rsidRPr="00701461">
        <w:t xml:space="preserve"> à la formation de précipités solides de sulfates ou de carbonates</w:t>
      </w:r>
      <w:r w:rsidR="00CF41AB" w:rsidRPr="00701461">
        <w:t xml:space="preserve"> à radioactivité concentrée</w:t>
      </w:r>
      <w:r w:rsidR="001658E4" w:rsidRPr="00701461">
        <w:t>.</w:t>
      </w:r>
      <w:r w:rsidR="002E21AB">
        <w:t xml:space="preserve"> </w:t>
      </w:r>
      <w:r w:rsidR="009E094E" w:rsidRPr="00701461">
        <w:rPr>
          <w:rFonts w:asciiTheme="majorBidi" w:hAnsiTheme="majorBidi" w:cstheme="majorBidi"/>
          <w:szCs w:val="24"/>
          <w:shd w:val="clear" w:color="auto" w:fill="FFFFFF"/>
        </w:rPr>
        <w:t>L'élimination de ces déchets est un problème majeur qui n’a pas trouvé de solution totalement satisfaisante.</w:t>
      </w:r>
      <w:r w:rsidR="002E21AB">
        <w:rPr>
          <w:rFonts w:asciiTheme="majorBidi" w:hAnsiTheme="majorBidi" w:cstheme="majorBidi"/>
          <w:szCs w:val="24"/>
          <w:shd w:val="clear" w:color="auto" w:fill="FFFFFF"/>
        </w:rPr>
        <w:t xml:space="preserve"> </w:t>
      </w:r>
      <w:r w:rsidR="009E094E" w:rsidRPr="00701461">
        <w:rPr>
          <w:rFonts w:asciiTheme="majorBidi" w:hAnsiTheme="majorBidi" w:cstheme="majorBidi"/>
          <w:szCs w:val="24"/>
          <w:shd w:val="clear" w:color="auto" w:fill="FFFFFF"/>
        </w:rPr>
        <w:t xml:space="preserve">Ils </w:t>
      </w:r>
      <w:r w:rsidR="004934B2" w:rsidRPr="00701461">
        <w:rPr>
          <w:rFonts w:asciiTheme="majorBidi" w:hAnsiTheme="majorBidi" w:cstheme="majorBidi"/>
          <w:szCs w:val="24"/>
          <w:shd w:val="clear" w:color="auto" w:fill="FFFFFF"/>
        </w:rPr>
        <w:t>présente</w:t>
      </w:r>
      <w:r w:rsidR="009E094E" w:rsidRPr="00701461">
        <w:rPr>
          <w:rFonts w:asciiTheme="majorBidi" w:hAnsiTheme="majorBidi" w:cstheme="majorBidi"/>
          <w:szCs w:val="24"/>
          <w:shd w:val="clear" w:color="auto" w:fill="FFFFFF"/>
        </w:rPr>
        <w:t>nt</w:t>
      </w:r>
      <w:r w:rsidR="004934B2" w:rsidRPr="00701461">
        <w:rPr>
          <w:rFonts w:asciiTheme="majorBidi" w:hAnsiTheme="majorBidi" w:cstheme="majorBidi"/>
          <w:szCs w:val="24"/>
          <w:shd w:val="clear" w:color="auto" w:fill="FFFFFF"/>
        </w:rPr>
        <w:t xml:space="preserve"> un risque sanitaire</w:t>
      </w:r>
      <w:r w:rsidR="00D86716" w:rsidRPr="00701461">
        <w:rPr>
          <w:rFonts w:asciiTheme="majorBidi" w:hAnsiTheme="majorBidi" w:cstheme="majorBidi"/>
          <w:szCs w:val="24"/>
          <w:shd w:val="clear" w:color="auto" w:fill="FFFFFF"/>
        </w:rPr>
        <w:t xml:space="preserve">, dû à </w:t>
      </w:r>
      <w:r w:rsidR="00D86716" w:rsidRPr="00AB2F5B">
        <w:rPr>
          <w:rFonts w:asciiTheme="majorBidi" w:hAnsiTheme="majorBidi" w:cstheme="majorBidi"/>
          <w:szCs w:val="24"/>
          <w:shd w:val="clear" w:color="auto" w:fill="FFFFFF"/>
        </w:rPr>
        <w:t>l’exposition interne et externe des</w:t>
      </w:r>
      <w:r w:rsidR="004934B2" w:rsidRPr="00AB2F5B">
        <w:rPr>
          <w:rFonts w:asciiTheme="majorBidi" w:hAnsiTheme="majorBidi" w:cstheme="majorBidi"/>
          <w:szCs w:val="24"/>
          <w:shd w:val="clear" w:color="auto" w:fill="FFFFFF"/>
        </w:rPr>
        <w:t xml:space="preserve"> travailleurs</w:t>
      </w:r>
      <w:r w:rsidR="002E21AB">
        <w:rPr>
          <w:rFonts w:asciiTheme="majorBidi" w:hAnsiTheme="majorBidi" w:cstheme="majorBidi"/>
          <w:szCs w:val="24"/>
          <w:shd w:val="clear" w:color="auto" w:fill="FFFFFF"/>
        </w:rPr>
        <w:t xml:space="preserve"> </w:t>
      </w:r>
      <w:r w:rsidR="009E094E" w:rsidRPr="00701461">
        <w:rPr>
          <w:rFonts w:asciiTheme="majorBidi" w:hAnsiTheme="majorBidi" w:cstheme="majorBidi"/>
          <w:szCs w:val="24"/>
          <w:shd w:val="clear" w:color="auto" w:fill="FFFFFF"/>
        </w:rPr>
        <w:t>en contact av</w:t>
      </w:r>
      <w:r w:rsidR="001658E4" w:rsidRPr="00701461">
        <w:rPr>
          <w:rFonts w:asciiTheme="majorBidi" w:hAnsiTheme="majorBidi" w:cstheme="majorBidi"/>
          <w:szCs w:val="24"/>
          <w:shd w:val="clear" w:color="auto" w:fill="FFFFFF"/>
        </w:rPr>
        <w:t>ec ces déchets</w:t>
      </w:r>
      <w:r w:rsidR="004934B2" w:rsidRPr="00701461">
        <w:rPr>
          <w:rFonts w:asciiTheme="majorBidi" w:hAnsiTheme="majorBidi" w:cstheme="majorBidi"/>
          <w:szCs w:val="24"/>
          <w:shd w:val="clear" w:color="auto" w:fill="FFFFFF"/>
        </w:rPr>
        <w:t>,</w:t>
      </w:r>
      <w:r w:rsidR="002E21AB">
        <w:rPr>
          <w:rFonts w:asciiTheme="majorBidi" w:hAnsiTheme="majorBidi" w:cstheme="majorBidi"/>
          <w:szCs w:val="24"/>
          <w:shd w:val="clear" w:color="auto" w:fill="FFFFFF"/>
        </w:rPr>
        <w:t xml:space="preserve"> </w:t>
      </w:r>
      <w:r w:rsidR="004934B2" w:rsidRPr="00701461">
        <w:rPr>
          <w:rFonts w:asciiTheme="majorBidi" w:hAnsiTheme="majorBidi" w:cstheme="majorBidi"/>
          <w:szCs w:val="24"/>
          <w:shd w:val="clear" w:color="auto" w:fill="FFFFFF"/>
        </w:rPr>
        <w:t>et peu</w:t>
      </w:r>
      <w:r w:rsidR="009265E7" w:rsidRPr="00701461">
        <w:rPr>
          <w:rFonts w:asciiTheme="majorBidi" w:hAnsiTheme="majorBidi" w:cstheme="majorBidi"/>
          <w:szCs w:val="24"/>
          <w:shd w:val="clear" w:color="auto" w:fill="FFFFFF"/>
        </w:rPr>
        <w:t>ven</w:t>
      </w:r>
      <w:r w:rsidR="004934B2" w:rsidRPr="00701461">
        <w:rPr>
          <w:rFonts w:asciiTheme="majorBidi" w:hAnsiTheme="majorBidi" w:cstheme="majorBidi"/>
          <w:szCs w:val="24"/>
          <w:shd w:val="clear" w:color="auto" w:fill="FFFFFF"/>
        </w:rPr>
        <w:t>t également avoir un impact non n</w:t>
      </w:r>
      <w:r w:rsidR="00FB2EE7" w:rsidRPr="00701461">
        <w:rPr>
          <w:rFonts w:asciiTheme="majorBidi" w:hAnsiTheme="majorBidi" w:cstheme="majorBidi"/>
          <w:szCs w:val="24"/>
          <w:shd w:val="clear" w:color="auto" w:fill="FFFFFF"/>
        </w:rPr>
        <w:t>égligeable sur l'environnement.</w:t>
      </w:r>
    </w:p>
    <w:p w:rsidR="00855CCA" w:rsidRPr="00701461" w:rsidRDefault="001658E4" w:rsidP="003B1F3F">
      <w:pPr>
        <w:spacing w:line="240" w:lineRule="auto"/>
        <w:jc w:val="both"/>
      </w:pPr>
      <w:r w:rsidRPr="00701461">
        <w:rPr>
          <w:rFonts w:asciiTheme="majorBidi" w:hAnsiTheme="majorBidi" w:cstheme="majorBidi"/>
          <w:szCs w:val="24"/>
          <w:shd w:val="clear" w:color="auto" w:fill="FFFFFF"/>
        </w:rPr>
        <w:t xml:space="preserve">C'est dans cette </w:t>
      </w:r>
      <w:r w:rsidR="000F1873">
        <w:rPr>
          <w:rFonts w:asciiTheme="majorBidi" w:hAnsiTheme="majorBidi" w:cstheme="majorBidi"/>
          <w:szCs w:val="24"/>
          <w:shd w:val="clear" w:color="auto" w:fill="FFFFFF"/>
        </w:rPr>
        <w:t>probléma</w:t>
      </w:r>
      <w:r w:rsidRPr="00701461">
        <w:rPr>
          <w:rFonts w:asciiTheme="majorBidi" w:hAnsiTheme="majorBidi" w:cstheme="majorBidi"/>
          <w:szCs w:val="24"/>
          <w:shd w:val="clear" w:color="auto" w:fill="FFFFFF"/>
        </w:rPr>
        <w:t>tique que s'inscrit notre présent travail dont l’objectif est de proposer</w:t>
      </w:r>
      <w:r w:rsidR="002E21AB">
        <w:rPr>
          <w:rFonts w:asciiTheme="majorBidi" w:hAnsiTheme="majorBidi" w:cstheme="majorBidi"/>
          <w:szCs w:val="24"/>
          <w:shd w:val="clear" w:color="auto" w:fill="FFFFFF"/>
        </w:rPr>
        <w:t xml:space="preserve"> </w:t>
      </w:r>
      <w:r w:rsidR="00C3304A" w:rsidRPr="00701461">
        <w:t>une procédure de traitement de</w:t>
      </w:r>
      <w:r w:rsidR="009265E7" w:rsidRPr="00701461">
        <w:t xml:space="preserve"> ce</w:t>
      </w:r>
      <w:r w:rsidR="00C3304A" w:rsidRPr="00701461">
        <w:t>s déchets</w:t>
      </w:r>
      <w:r w:rsidR="00E51B17">
        <w:t>,</w:t>
      </w:r>
      <w:r w:rsidR="002E21AB">
        <w:t xml:space="preserve"> </w:t>
      </w:r>
      <w:r w:rsidR="009265E7" w:rsidRPr="00701461">
        <w:rPr>
          <w:rFonts w:asciiTheme="majorBidi" w:hAnsiTheme="majorBidi" w:cstheme="majorBidi"/>
          <w:szCs w:val="24"/>
        </w:rPr>
        <w:t xml:space="preserve">désignés sous l'acronyme « NORM » </w:t>
      </w:r>
      <w:r w:rsidR="002E21AB">
        <w:rPr>
          <w:rFonts w:asciiTheme="majorBidi" w:hAnsiTheme="majorBidi" w:cstheme="majorBidi"/>
          <w:szCs w:val="24"/>
        </w:rPr>
        <w:t xml:space="preserve">(Naturally </w:t>
      </w:r>
      <w:r w:rsidR="009265E7" w:rsidRPr="00701461">
        <w:rPr>
          <w:rFonts w:asciiTheme="majorBidi" w:hAnsiTheme="majorBidi" w:cstheme="majorBidi"/>
          <w:szCs w:val="24"/>
        </w:rPr>
        <w:t>Occuring Radioactive Materials)</w:t>
      </w:r>
      <w:r w:rsidR="00C3304A" w:rsidRPr="00701461">
        <w:t>, en examinant la lixiviabilité du radium-226</w:t>
      </w:r>
      <w:r w:rsidR="006B7631" w:rsidRPr="00701461">
        <w:rPr>
          <w:rFonts w:asciiTheme="majorBidi" w:hAnsiTheme="majorBidi" w:cstheme="majorBidi"/>
          <w:szCs w:val="24"/>
          <w:shd w:val="clear" w:color="auto" w:fill="FFFFFF"/>
        </w:rPr>
        <w:t xml:space="preserve">. </w:t>
      </w:r>
      <w:r w:rsidR="006B7631" w:rsidRPr="00701461">
        <w:t xml:space="preserve">Le but étant de réduire </w:t>
      </w:r>
      <w:r w:rsidR="00C3304A" w:rsidRPr="00701461">
        <w:t>la concentration</w:t>
      </w:r>
      <w:r w:rsidR="006B7631" w:rsidRPr="00701461">
        <w:t xml:space="preserve"> en éléments radioactifs, jusqu’à atteindre les limite</w:t>
      </w:r>
      <w:r w:rsidR="000F1873">
        <w:t>s</w:t>
      </w:r>
      <w:r w:rsidR="006B7631" w:rsidRPr="00701461">
        <w:t xml:space="preserve"> d’exemption réglementaire. </w:t>
      </w:r>
      <w:r w:rsidR="004D6BA9" w:rsidRPr="00701461">
        <w:t xml:space="preserve">Dans un premier temps, nous avons effectué une caractérisation des déchets, </w:t>
      </w:r>
      <w:r w:rsidR="004D6BA9" w:rsidRPr="00701461">
        <w:rPr>
          <w:rFonts w:asciiTheme="majorBidi" w:hAnsiTheme="majorBidi" w:cstheme="majorBidi"/>
          <w:szCs w:val="24"/>
          <w:shd w:val="clear" w:color="auto" w:fill="FFFFFF"/>
        </w:rPr>
        <w:t>issus des installations d’un champ pétrolier</w:t>
      </w:r>
      <w:r w:rsidR="000F1873">
        <w:rPr>
          <w:rFonts w:asciiTheme="majorBidi" w:hAnsiTheme="majorBidi" w:cstheme="majorBidi"/>
          <w:szCs w:val="24"/>
          <w:shd w:val="clear" w:color="auto" w:fill="FFFFFF"/>
        </w:rPr>
        <w:t xml:space="preserve"> a</w:t>
      </w:r>
      <w:r w:rsidR="004D6BA9" w:rsidRPr="00701461">
        <w:rPr>
          <w:rFonts w:asciiTheme="majorBidi" w:hAnsiTheme="majorBidi" w:cstheme="majorBidi"/>
          <w:szCs w:val="24"/>
          <w:shd w:val="clear" w:color="auto" w:fill="FFFFFF"/>
        </w:rPr>
        <w:t>lgérien</w:t>
      </w:r>
      <w:r w:rsidR="000F1873">
        <w:rPr>
          <w:rFonts w:asciiTheme="majorBidi" w:hAnsiTheme="majorBidi" w:cstheme="majorBidi"/>
          <w:szCs w:val="24"/>
          <w:shd w:val="clear" w:color="auto" w:fill="FFFFFF"/>
        </w:rPr>
        <w:t xml:space="preserve">. L’analyse des échantillons a montré que l’activité spécifique en radium 226, dans certaines installations atteignaient les 42 Bq/g et dépassaient ainsi, la limite d'exemption qui est de 10 Bq/g. </w:t>
      </w:r>
      <w:r w:rsidR="000F1873" w:rsidRPr="00855CCA">
        <w:rPr>
          <w:rFonts w:asciiTheme="majorBidi" w:hAnsiTheme="majorBidi" w:cstheme="majorBidi"/>
          <w:szCs w:val="24"/>
          <w:shd w:val="clear" w:color="auto" w:fill="FFFFFF"/>
        </w:rPr>
        <w:t>P</w:t>
      </w:r>
      <w:r w:rsidR="004D6BA9" w:rsidRPr="00855CCA">
        <w:rPr>
          <w:rFonts w:asciiTheme="majorBidi" w:hAnsiTheme="majorBidi" w:cstheme="majorBidi"/>
          <w:szCs w:val="24"/>
          <w:shd w:val="clear" w:color="auto" w:fill="FFFFFF"/>
        </w:rPr>
        <w:t>ar la suite</w:t>
      </w:r>
      <w:r w:rsidR="004D6BA9" w:rsidRPr="00701461">
        <w:rPr>
          <w:rFonts w:asciiTheme="majorBidi" w:hAnsiTheme="majorBidi" w:cstheme="majorBidi"/>
          <w:szCs w:val="24"/>
          <w:shd w:val="clear" w:color="auto" w:fill="FFFFFF"/>
        </w:rPr>
        <w:t xml:space="preserve">, nous avons </w:t>
      </w:r>
      <w:r w:rsidR="00CF3291" w:rsidRPr="00701461">
        <w:rPr>
          <w:rFonts w:asciiTheme="majorBidi" w:hAnsiTheme="majorBidi" w:cstheme="majorBidi"/>
          <w:szCs w:val="24"/>
          <w:shd w:val="clear" w:color="auto" w:fill="FFFFFF"/>
        </w:rPr>
        <w:t>appliqu</w:t>
      </w:r>
      <w:r w:rsidR="009265E7" w:rsidRPr="00701461">
        <w:rPr>
          <w:rFonts w:asciiTheme="majorBidi" w:hAnsiTheme="majorBidi" w:cstheme="majorBidi"/>
          <w:szCs w:val="24"/>
          <w:shd w:val="clear" w:color="auto" w:fill="FFFFFF"/>
        </w:rPr>
        <w:t>é deux méthodes de traitement à</w:t>
      </w:r>
      <w:r w:rsidR="00855CCA">
        <w:rPr>
          <w:rFonts w:asciiTheme="majorBidi" w:hAnsiTheme="majorBidi" w:cstheme="majorBidi"/>
          <w:szCs w:val="24"/>
          <w:shd w:val="clear" w:color="auto" w:fill="FFFFFF"/>
        </w:rPr>
        <w:t xml:space="preserve"> ces déchets : une lixiviation acide à deux étapes</w:t>
      </w:r>
      <w:r w:rsidR="00284F30">
        <w:rPr>
          <w:rFonts w:asciiTheme="majorBidi" w:hAnsiTheme="majorBidi" w:cstheme="majorBidi"/>
          <w:szCs w:val="24"/>
          <w:shd w:val="clear" w:color="auto" w:fill="FFFFFF"/>
        </w:rPr>
        <w:t> ;</w:t>
      </w:r>
      <w:r w:rsidR="00855CCA">
        <w:rPr>
          <w:rFonts w:asciiTheme="majorBidi" w:hAnsiTheme="majorBidi" w:cstheme="majorBidi"/>
          <w:szCs w:val="24"/>
          <w:shd w:val="clear" w:color="auto" w:fill="FFFFFF"/>
        </w:rPr>
        <w:t xml:space="preserve"> dont on a optimisé les paramètres et qui a donné les conditions opératoires optimales qui sont : une première lixiviation par un lavage à l’acide nitrique de concentration 1,9 M, </w:t>
      </w:r>
      <w:r w:rsidR="00855CCA" w:rsidRPr="00701461">
        <w:t>avec un rapport solide liquide de 1/16 pendant 1h de contact, suivi</w:t>
      </w:r>
      <w:r w:rsidR="00284F30">
        <w:t>e</w:t>
      </w:r>
      <w:r w:rsidR="00855CCA" w:rsidRPr="00701461">
        <w:t xml:space="preserve"> d</w:t>
      </w:r>
      <w:r w:rsidR="00855CCA">
        <w:t>’une deuxième lixiviation avec trois</w:t>
      </w:r>
      <w:r w:rsidR="00855CCA" w:rsidRPr="00701461">
        <w:t xml:space="preserve"> lavages successifs </w:t>
      </w:r>
      <w:r w:rsidR="00855CCA">
        <w:t>à</w:t>
      </w:r>
      <w:r w:rsidR="00855CCA" w:rsidRPr="00701461">
        <w:t xml:space="preserve"> l’acide sulfurique</w:t>
      </w:r>
      <w:r w:rsidR="00855CCA">
        <w:t xml:space="preserve"> concentré</w:t>
      </w:r>
      <w:r w:rsidR="00855CCA" w:rsidRPr="00701461">
        <w:t xml:space="preserve"> avec un rapport solide/liquide de 1/25</w:t>
      </w:r>
      <w:r w:rsidR="00855CCA">
        <w:t xml:space="preserve"> et un temps de contact de</w:t>
      </w:r>
      <w:r w:rsidR="00855CCA" w:rsidRPr="00701461">
        <w:t xml:space="preserve"> 5h</w:t>
      </w:r>
      <w:r w:rsidR="00814E06">
        <w:t>. Le taux maximum de lixiviation du Ra-226 pour ce traitement a été de 84 %</w:t>
      </w:r>
      <w:r w:rsidR="00855CCA" w:rsidRPr="00701461">
        <w:t>.</w:t>
      </w:r>
      <w:r w:rsidR="00284F30">
        <w:t xml:space="preserve"> Le second traitement est un traitement séquentiel qui a servi pour la spéciation des espèces de radium</w:t>
      </w:r>
      <w:r w:rsidR="007468E9">
        <w:t xml:space="preserve"> qui sont : l</w:t>
      </w:r>
      <w:r w:rsidR="007468E9" w:rsidRPr="00701461">
        <w:t>e radium échangeable</w:t>
      </w:r>
      <w:r w:rsidR="007468E9">
        <w:t>,</w:t>
      </w:r>
      <w:r w:rsidR="002E21AB">
        <w:t xml:space="preserve"> </w:t>
      </w:r>
      <w:r w:rsidR="007468E9">
        <w:t>l</w:t>
      </w:r>
      <w:r w:rsidR="007468E9" w:rsidRPr="00701461">
        <w:t>e radium lié</w:t>
      </w:r>
      <w:r w:rsidR="000260F7">
        <w:t>,</w:t>
      </w:r>
      <w:r w:rsidR="007468E9" w:rsidRPr="00701461">
        <w:t xml:space="preserve"> aux carbonates</w:t>
      </w:r>
      <w:r w:rsidR="007468E9">
        <w:t xml:space="preserve">, </w:t>
      </w:r>
      <w:r w:rsidR="007468E9" w:rsidRPr="00930FF9">
        <w:t>aux oxydes de fer et de manganèse</w:t>
      </w:r>
      <w:r w:rsidR="007468E9">
        <w:t xml:space="preserve"> et </w:t>
      </w:r>
      <w:r w:rsidR="007468E9" w:rsidRPr="00701461">
        <w:t>à la matière organique</w:t>
      </w:r>
      <w:r w:rsidR="007468E9">
        <w:t xml:space="preserve">. </w:t>
      </w:r>
      <w:r w:rsidR="007468E9" w:rsidRPr="00701461">
        <w:t>Dans notre cas, la plupart du radium lessivé appartient à l’espèce de Ra</w:t>
      </w:r>
      <w:r w:rsidR="007468E9">
        <w:t xml:space="preserve"> lié</w:t>
      </w:r>
      <w:r w:rsidR="002E21AB">
        <w:t xml:space="preserve"> </w:t>
      </w:r>
      <w:r w:rsidR="007468E9" w:rsidRPr="00930FF9">
        <w:t>aux oxydes de fer et de manganèse</w:t>
      </w:r>
      <w:r w:rsidR="00814E06">
        <w:t xml:space="preserve"> et le taux de lixiviation de ce traitement était de</w:t>
      </w:r>
      <w:r w:rsidR="003B1F3F">
        <w:t xml:space="preserve"> 17%</w:t>
      </w:r>
      <w:r w:rsidR="007468E9">
        <w:t>.</w:t>
      </w:r>
    </w:p>
    <w:p w:rsidR="00C902BC" w:rsidRPr="00137CF7" w:rsidRDefault="009265E7" w:rsidP="001730F1">
      <w:pPr>
        <w:spacing w:line="240" w:lineRule="auto"/>
        <w:jc w:val="both"/>
      </w:pPr>
      <w:r w:rsidRPr="00701461">
        <w:t>Nous</w:t>
      </w:r>
      <w:r w:rsidR="006B7631" w:rsidRPr="00701461">
        <w:t xml:space="preserve"> a</w:t>
      </w:r>
      <w:r w:rsidRPr="00701461">
        <w:t>vons</w:t>
      </w:r>
      <w:r w:rsidR="006B7631" w:rsidRPr="00701461">
        <w:t xml:space="preserve"> également évalu</w:t>
      </w:r>
      <w:r w:rsidR="004D6BA9" w:rsidRPr="00701461">
        <w:t>é</w:t>
      </w:r>
      <w:r w:rsidR="006B7631" w:rsidRPr="00701461">
        <w:t xml:space="preserve"> le risque d’exposition, en procédant à la mesure des débits de dose autour d’installations pétrolières et </w:t>
      </w:r>
      <w:r w:rsidRPr="00701461">
        <w:t>nous avons</w:t>
      </w:r>
      <w:r w:rsidR="006B7631" w:rsidRPr="00701461">
        <w:t xml:space="preserve"> effectué une simulation de contamination par voie d’ingestion et par voie de plaie.</w:t>
      </w:r>
    </w:p>
    <w:sectPr w:rsidR="00C902BC" w:rsidRPr="00137CF7" w:rsidSect="00D73F13">
      <w:footerReference w:type="default" r:id="rId8"/>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7EF2" w:rsidRDefault="002B7EF2" w:rsidP="00D73F13">
      <w:pPr>
        <w:spacing w:after="0" w:line="240" w:lineRule="auto"/>
      </w:pPr>
      <w:r>
        <w:separator/>
      </w:r>
    </w:p>
  </w:endnote>
  <w:endnote w:type="continuationSeparator" w:id="1">
    <w:p w:rsidR="002B7EF2" w:rsidRDefault="002B7EF2" w:rsidP="00D73F1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Premr Pro">
    <w:altName w:val="Garamond Premr Pro"/>
    <w:panose1 w:val="00000000000000000000"/>
    <w:charset w:val="00"/>
    <w:family w:val="roman"/>
    <w:notTrueType/>
    <w:pitch w:val="default"/>
    <w:sig w:usb0="00000003" w:usb1="00000000" w:usb2="00000000" w:usb3="00000000" w:csb0="00000001" w:csb1="00000000"/>
  </w:font>
  <w:font w:name="Gill Sans MT Std Condensed">
    <w:altName w:val="Gill Sans MT Std Condensed"/>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58084"/>
      <w:docPartObj>
        <w:docPartGallery w:val="Page Numbers (Bottom of Page)"/>
        <w:docPartUnique/>
      </w:docPartObj>
    </w:sdtPr>
    <w:sdtContent>
      <w:p w:rsidR="005C788B" w:rsidRDefault="006D61AE">
        <w:pPr>
          <w:pStyle w:val="Pieddepage"/>
          <w:jc w:val="right"/>
        </w:pPr>
        <w:r>
          <w:fldChar w:fldCharType="begin"/>
        </w:r>
        <w:r w:rsidR="005C788B">
          <w:instrText xml:space="preserve"> PAGE   \* MERGEFORMAT </w:instrText>
        </w:r>
        <w:r>
          <w:fldChar w:fldCharType="separate"/>
        </w:r>
        <w:r w:rsidR="001730F1">
          <w:rPr>
            <w:noProof/>
          </w:rPr>
          <w:t>34</w:t>
        </w:r>
        <w:r>
          <w:rPr>
            <w:noProof/>
          </w:rPr>
          <w:fldChar w:fldCharType="end"/>
        </w:r>
      </w:p>
    </w:sdtContent>
  </w:sdt>
  <w:p w:rsidR="005C788B" w:rsidRDefault="005C788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7EF2" w:rsidRDefault="002B7EF2" w:rsidP="00D73F13">
      <w:pPr>
        <w:spacing w:after="0" w:line="240" w:lineRule="auto"/>
      </w:pPr>
      <w:r>
        <w:separator/>
      </w:r>
    </w:p>
  </w:footnote>
  <w:footnote w:type="continuationSeparator" w:id="1">
    <w:p w:rsidR="002B7EF2" w:rsidRDefault="002B7EF2" w:rsidP="00D73F1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B15EC"/>
    <w:multiLevelType w:val="multilevel"/>
    <w:tmpl w:val="68D63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1035F9"/>
    <w:multiLevelType w:val="hybridMultilevel"/>
    <w:tmpl w:val="1D06E06C"/>
    <w:lvl w:ilvl="0" w:tplc="ACBC2F54">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89728F5"/>
    <w:multiLevelType w:val="multilevel"/>
    <w:tmpl w:val="F9B40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E3D7F2D"/>
    <w:multiLevelType w:val="hybridMultilevel"/>
    <w:tmpl w:val="272655CA"/>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EFF7C09"/>
    <w:multiLevelType w:val="hybridMultilevel"/>
    <w:tmpl w:val="61CE79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7624441"/>
    <w:multiLevelType w:val="hybridMultilevel"/>
    <w:tmpl w:val="4AF272FA"/>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B5762BF"/>
    <w:multiLevelType w:val="hybridMultilevel"/>
    <w:tmpl w:val="FD4AB3F4"/>
    <w:lvl w:ilvl="0" w:tplc="4C4C6AD4">
      <w:start w:val="1"/>
      <w:numFmt w:val="bullet"/>
      <w:lvlText w:val="•"/>
      <w:lvlJc w:val="left"/>
      <w:pPr>
        <w:tabs>
          <w:tab w:val="num" w:pos="720"/>
        </w:tabs>
        <w:ind w:left="720" w:hanging="360"/>
      </w:pPr>
      <w:rPr>
        <w:rFonts w:ascii="Arial" w:hAnsi="Arial" w:hint="default"/>
      </w:rPr>
    </w:lvl>
    <w:lvl w:ilvl="1" w:tplc="CB589338" w:tentative="1">
      <w:start w:val="1"/>
      <w:numFmt w:val="bullet"/>
      <w:lvlText w:val="•"/>
      <w:lvlJc w:val="left"/>
      <w:pPr>
        <w:tabs>
          <w:tab w:val="num" w:pos="1440"/>
        </w:tabs>
        <w:ind w:left="1440" w:hanging="360"/>
      </w:pPr>
      <w:rPr>
        <w:rFonts w:ascii="Arial" w:hAnsi="Arial" w:hint="default"/>
      </w:rPr>
    </w:lvl>
    <w:lvl w:ilvl="2" w:tplc="740C54A2" w:tentative="1">
      <w:start w:val="1"/>
      <w:numFmt w:val="bullet"/>
      <w:lvlText w:val="•"/>
      <w:lvlJc w:val="left"/>
      <w:pPr>
        <w:tabs>
          <w:tab w:val="num" w:pos="2160"/>
        </w:tabs>
        <w:ind w:left="2160" w:hanging="360"/>
      </w:pPr>
      <w:rPr>
        <w:rFonts w:ascii="Arial" w:hAnsi="Arial" w:hint="default"/>
      </w:rPr>
    </w:lvl>
    <w:lvl w:ilvl="3" w:tplc="236402D0" w:tentative="1">
      <w:start w:val="1"/>
      <w:numFmt w:val="bullet"/>
      <w:lvlText w:val="•"/>
      <w:lvlJc w:val="left"/>
      <w:pPr>
        <w:tabs>
          <w:tab w:val="num" w:pos="2880"/>
        </w:tabs>
        <w:ind w:left="2880" w:hanging="360"/>
      </w:pPr>
      <w:rPr>
        <w:rFonts w:ascii="Arial" w:hAnsi="Arial" w:hint="default"/>
      </w:rPr>
    </w:lvl>
    <w:lvl w:ilvl="4" w:tplc="23AE2A68" w:tentative="1">
      <w:start w:val="1"/>
      <w:numFmt w:val="bullet"/>
      <w:lvlText w:val="•"/>
      <w:lvlJc w:val="left"/>
      <w:pPr>
        <w:tabs>
          <w:tab w:val="num" w:pos="3600"/>
        </w:tabs>
        <w:ind w:left="3600" w:hanging="360"/>
      </w:pPr>
      <w:rPr>
        <w:rFonts w:ascii="Arial" w:hAnsi="Arial" w:hint="default"/>
      </w:rPr>
    </w:lvl>
    <w:lvl w:ilvl="5" w:tplc="4AD8D65A" w:tentative="1">
      <w:start w:val="1"/>
      <w:numFmt w:val="bullet"/>
      <w:lvlText w:val="•"/>
      <w:lvlJc w:val="left"/>
      <w:pPr>
        <w:tabs>
          <w:tab w:val="num" w:pos="4320"/>
        </w:tabs>
        <w:ind w:left="4320" w:hanging="360"/>
      </w:pPr>
      <w:rPr>
        <w:rFonts w:ascii="Arial" w:hAnsi="Arial" w:hint="default"/>
      </w:rPr>
    </w:lvl>
    <w:lvl w:ilvl="6" w:tplc="E9F04EC4" w:tentative="1">
      <w:start w:val="1"/>
      <w:numFmt w:val="bullet"/>
      <w:lvlText w:val="•"/>
      <w:lvlJc w:val="left"/>
      <w:pPr>
        <w:tabs>
          <w:tab w:val="num" w:pos="5040"/>
        </w:tabs>
        <w:ind w:left="5040" w:hanging="360"/>
      </w:pPr>
      <w:rPr>
        <w:rFonts w:ascii="Arial" w:hAnsi="Arial" w:hint="default"/>
      </w:rPr>
    </w:lvl>
    <w:lvl w:ilvl="7" w:tplc="2BEA2956" w:tentative="1">
      <w:start w:val="1"/>
      <w:numFmt w:val="bullet"/>
      <w:lvlText w:val="•"/>
      <w:lvlJc w:val="left"/>
      <w:pPr>
        <w:tabs>
          <w:tab w:val="num" w:pos="5760"/>
        </w:tabs>
        <w:ind w:left="5760" w:hanging="360"/>
      </w:pPr>
      <w:rPr>
        <w:rFonts w:ascii="Arial" w:hAnsi="Arial" w:hint="default"/>
      </w:rPr>
    </w:lvl>
    <w:lvl w:ilvl="8" w:tplc="2DDA5F12" w:tentative="1">
      <w:start w:val="1"/>
      <w:numFmt w:val="bullet"/>
      <w:lvlText w:val="•"/>
      <w:lvlJc w:val="left"/>
      <w:pPr>
        <w:tabs>
          <w:tab w:val="num" w:pos="6480"/>
        </w:tabs>
        <w:ind w:left="6480" w:hanging="360"/>
      </w:pPr>
      <w:rPr>
        <w:rFonts w:ascii="Arial" w:hAnsi="Arial" w:hint="default"/>
      </w:rPr>
    </w:lvl>
  </w:abstractNum>
  <w:abstractNum w:abstractNumId="7">
    <w:nsid w:val="2FB74F12"/>
    <w:multiLevelType w:val="hybridMultilevel"/>
    <w:tmpl w:val="7B90C408"/>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43A47A1"/>
    <w:multiLevelType w:val="hybridMultilevel"/>
    <w:tmpl w:val="672A29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8C34159"/>
    <w:multiLevelType w:val="hybridMultilevel"/>
    <w:tmpl w:val="9C5855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A9644EC"/>
    <w:multiLevelType w:val="hybridMultilevel"/>
    <w:tmpl w:val="85D6DE5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1">
    <w:nsid w:val="469D29AF"/>
    <w:multiLevelType w:val="hybridMultilevel"/>
    <w:tmpl w:val="9BCA2110"/>
    <w:lvl w:ilvl="0" w:tplc="295AEF04">
      <w:numFmt w:val="bullet"/>
      <w:lvlText w:val=""/>
      <w:lvlJc w:val="left"/>
      <w:pPr>
        <w:ind w:left="1080" w:hanging="360"/>
      </w:pPr>
      <w:rPr>
        <w:rFonts w:ascii="Symbol" w:eastAsia="Times New Roman"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2">
    <w:nsid w:val="47A37F51"/>
    <w:multiLevelType w:val="multilevel"/>
    <w:tmpl w:val="45983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8C8584B"/>
    <w:multiLevelType w:val="hybridMultilevel"/>
    <w:tmpl w:val="21901D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8E30202"/>
    <w:multiLevelType w:val="hybridMultilevel"/>
    <w:tmpl w:val="8D2A0CB0"/>
    <w:lvl w:ilvl="0" w:tplc="040C000F">
      <w:start w:val="1"/>
      <w:numFmt w:val="decimal"/>
      <w:lvlText w:val="%1."/>
      <w:lvlJc w:val="left"/>
      <w:pPr>
        <w:ind w:left="720" w:hanging="360"/>
      </w:pPr>
    </w:lvl>
    <w:lvl w:ilvl="1" w:tplc="81E84454">
      <w:start w:val="1996"/>
      <w:numFmt w:val="bullet"/>
      <w:lvlText w:val="–"/>
      <w:lvlJc w:val="left"/>
      <w:pPr>
        <w:ind w:left="1440" w:hanging="360"/>
      </w:pPr>
      <w:rPr>
        <w:rFonts w:ascii="Arial" w:eastAsia="Times New Roman" w:hAnsi="Arial" w:cs="Arial"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4BD15632"/>
    <w:multiLevelType w:val="hybridMultilevel"/>
    <w:tmpl w:val="0B8C4BE8"/>
    <w:lvl w:ilvl="0" w:tplc="295AEF04">
      <w:numFmt w:val="bullet"/>
      <w:lvlText w:val=""/>
      <w:lvlJc w:val="left"/>
      <w:pPr>
        <w:ind w:left="720" w:hanging="360"/>
      </w:pPr>
      <w:rPr>
        <w:rFonts w:ascii="Symbol" w:eastAsia="Times New Roman"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EAA7555"/>
    <w:multiLevelType w:val="hybridMultilevel"/>
    <w:tmpl w:val="D60061B8"/>
    <w:lvl w:ilvl="0" w:tplc="040C0017">
      <w:start w:val="1"/>
      <w:numFmt w:val="lowerLetter"/>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60154AFD"/>
    <w:multiLevelType w:val="multilevel"/>
    <w:tmpl w:val="2DD0C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2193770"/>
    <w:multiLevelType w:val="hybridMultilevel"/>
    <w:tmpl w:val="96805A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64402BF"/>
    <w:multiLevelType w:val="hybridMultilevel"/>
    <w:tmpl w:val="0B9E27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E463771"/>
    <w:multiLevelType w:val="hybridMultilevel"/>
    <w:tmpl w:val="662AAE7A"/>
    <w:lvl w:ilvl="0" w:tplc="C98A67FA">
      <w:start w:val="1"/>
      <w:numFmt w:val="upperLetter"/>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0"/>
  </w:num>
  <w:num w:numId="3">
    <w:abstractNumId w:val="12"/>
  </w:num>
  <w:num w:numId="4">
    <w:abstractNumId w:val="17"/>
  </w:num>
  <w:num w:numId="5">
    <w:abstractNumId w:val="18"/>
  </w:num>
  <w:num w:numId="6">
    <w:abstractNumId w:val="6"/>
  </w:num>
  <w:num w:numId="7">
    <w:abstractNumId w:val="19"/>
  </w:num>
  <w:num w:numId="8">
    <w:abstractNumId w:val="14"/>
  </w:num>
  <w:num w:numId="9">
    <w:abstractNumId w:val="3"/>
  </w:num>
  <w:num w:numId="10">
    <w:abstractNumId w:val="1"/>
  </w:num>
  <w:num w:numId="11">
    <w:abstractNumId w:val="5"/>
  </w:num>
  <w:num w:numId="12">
    <w:abstractNumId w:val="8"/>
  </w:num>
  <w:num w:numId="13">
    <w:abstractNumId w:val="7"/>
  </w:num>
  <w:num w:numId="14">
    <w:abstractNumId w:val="9"/>
  </w:num>
  <w:num w:numId="15">
    <w:abstractNumId w:val="20"/>
  </w:num>
  <w:num w:numId="16">
    <w:abstractNumId w:val="15"/>
  </w:num>
  <w:num w:numId="17">
    <w:abstractNumId w:val="11"/>
  </w:num>
  <w:num w:numId="18">
    <w:abstractNumId w:val="4"/>
  </w:num>
  <w:num w:numId="19">
    <w:abstractNumId w:val="10"/>
  </w:num>
  <w:num w:numId="20">
    <w:abstractNumId w:val="16"/>
  </w:num>
  <w:num w:numId="21">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730B52"/>
    <w:rsid w:val="00004B74"/>
    <w:rsid w:val="00013714"/>
    <w:rsid w:val="00015635"/>
    <w:rsid w:val="0002127F"/>
    <w:rsid w:val="000218E4"/>
    <w:rsid w:val="00021F0D"/>
    <w:rsid w:val="000260F7"/>
    <w:rsid w:val="00027019"/>
    <w:rsid w:val="00032342"/>
    <w:rsid w:val="0003416F"/>
    <w:rsid w:val="00035115"/>
    <w:rsid w:val="00037A7A"/>
    <w:rsid w:val="00045FC3"/>
    <w:rsid w:val="0005075C"/>
    <w:rsid w:val="000527D3"/>
    <w:rsid w:val="000537A7"/>
    <w:rsid w:val="00060B87"/>
    <w:rsid w:val="00060E47"/>
    <w:rsid w:val="00063775"/>
    <w:rsid w:val="00063DBE"/>
    <w:rsid w:val="00067A46"/>
    <w:rsid w:val="00067CE2"/>
    <w:rsid w:val="000778E2"/>
    <w:rsid w:val="0009011C"/>
    <w:rsid w:val="000902BC"/>
    <w:rsid w:val="000924ED"/>
    <w:rsid w:val="00094F93"/>
    <w:rsid w:val="000A2D2A"/>
    <w:rsid w:val="000A5433"/>
    <w:rsid w:val="000A6B9B"/>
    <w:rsid w:val="000B66F1"/>
    <w:rsid w:val="000C17B0"/>
    <w:rsid w:val="000C2216"/>
    <w:rsid w:val="000D0D13"/>
    <w:rsid w:val="000D14F5"/>
    <w:rsid w:val="000D2EFE"/>
    <w:rsid w:val="000D4C06"/>
    <w:rsid w:val="000D78E9"/>
    <w:rsid w:val="000D7A1E"/>
    <w:rsid w:val="000E0D31"/>
    <w:rsid w:val="000F0C22"/>
    <w:rsid w:val="000F1873"/>
    <w:rsid w:val="000F20F7"/>
    <w:rsid w:val="00104EB3"/>
    <w:rsid w:val="0010615C"/>
    <w:rsid w:val="00112113"/>
    <w:rsid w:val="00122FDF"/>
    <w:rsid w:val="00137CF7"/>
    <w:rsid w:val="001422B2"/>
    <w:rsid w:val="0014269B"/>
    <w:rsid w:val="00147C88"/>
    <w:rsid w:val="00153D37"/>
    <w:rsid w:val="001568B0"/>
    <w:rsid w:val="00161808"/>
    <w:rsid w:val="00163915"/>
    <w:rsid w:val="001645C5"/>
    <w:rsid w:val="001658E4"/>
    <w:rsid w:val="00165ADB"/>
    <w:rsid w:val="001730F1"/>
    <w:rsid w:val="0017454C"/>
    <w:rsid w:val="00182AB0"/>
    <w:rsid w:val="00182CD8"/>
    <w:rsid w:val="001878E6"/>
    <w:rsid w:val="0019048A"/>
    <w:rsid w:val="00193C83"/>
    <w:rsid w:val="001957DA"/>
    <w:rsid w:val="00197A36"/>
    <w:rsid w:val="001A27F7"/>
    <w:rsid w:val="001A5A0C"/>
    <w:rsid w:val="001B5A99"/>
    <w:rsid w:val="001B6B96"/>
    <w:rsid w:val="001C23DF"/>
    <w:rsid w:val="001D65A6"/>
    <w:rsid w:val="001E4C77"/>
    <w:rsid w:val="00207C43"/>
    <w:rsid w:val="00210DC6"/>
    <w:rsid w:val="00210F0D"/>
    <w:rsid w:val="00212F26"/>
    <w:rsid w:val="00215553"/>
    <w:rsid w:val="00215912"/>
    <w:rsid w:val="00222F9E"/>
    <w:rsid w:val="00235DAE"/>
    <w:rsid w:val="002400E7"/>
    <w:rsid w:val="00241826"/>
    <w:rsid w:val="00242662"/>
    <w:rsid w:val="00243A6C"/>
    <w:rsid w:val="00251D7B"/>
    <w:rsid w:val="00260922"/>
    <w:rsid w:val="0026746B"/>
    <w:rsid w:val="00273BDF"/>
    <w:rsid w:val="00284F30"/>
    <w:rsid w:val="00296633"/>
    <w:rsid w:val="002A4B03"/>
    <w:rsid w:val="002B245F"/>
    <w:rsid w:val="002B7EF2"/>
    <w:rsid w:val="002C0892"/>
    <w:rsid w:val="002C5320"/>
    <w:rsid w:val="002D13F9"/>
    <w:rsid w:val="002D2746"/>
    <w:rsid w:val="002D2A64"/>
    <w:rsid w:val="002D5EBD"/>
    <w:rsid w:val="002E21AB"/>
    <w:rsid w:val="002E235A"/>
    <w:rsid w:val="002F037D"/>
    <w:rsid w:val="002F3CA5"/>
    <w:rsid w:val="002F489E"/>
    <w:rsid w:val="002F48DF"/>
    <w:rsid w:val="00301339"/>
    <w:rsid w:val="00310541"/>
    <w:rsid w:val="0031384D"/>
    <w:rsid w:val="00322251"/>
    <w:rsid w:val="0032553A"/>
    <w:rsid w:val="00325AB2"/>
    <w:rsid w:val="00326594"/>
    <w:rsid w:val="00327262"/>
    <w:rsid w:val="00331118"/>
    <w:rsid w:val="00333C3A"/>
    <w:rsid w:val="003352B9"/>
    <w:rsid w:val="0034774A"/>
    <w:rsid w:val="003535A6"/>
    <w:rsid w:val="00364CCA"/>
    <w:rsid w:val="00364E68"/>
    <w:rsid w:val="003675BA"/>
    <w:rsid w:val="0037143D"/>
    <w:rsid w:val="00382F5D"/>
    <w:rsid w:val="00387759"/>
    <w:rsid w:val="00391836"/>
    <w:rsid w:val="003A4D03"/>
    <w:rsid w:val="003B141D"/>
    <w:rsid w:val="003B1F3F"/>
    <w:rsid w:val="003B4372"/>
    <w:rsid w:val="003B4FA5"/>
    <w:rsid w:val="003E0040"/>
    <w:rsid w:val="003E1CF7"/>
    <w:rsid w:val="003E3D82"/>
    <w:rsid w:val="003F10DA"/>
    <w:rsid w:val="003F76FB"/>
    <w:rsid w:val="00401CEC"/>
    <w:rsid w:val="00404658"/>
    <w:rsid w:val="004063BD"/>
    <w:rsid w:val="00410F9F"/>
    <w:rsid w:val="00411925"/>
    <w:rsid w:val="0041562B"/>
    <w:rsid w:val="0041745B"/>
    <w:rsid w:val="00423E61"/>
    <w:rsid w:val="00424894"/>
    <w:rsid w:val="0042792B"/>
    <w:rsid w:val="00431D9B"/>
    <w:rsid w:val="00437DE3"/>
    <w:rsid w:val="004406C9"/>
    <w:rsid w:val="00455EDE"/>
    <w:rsid w:val="004611E5"/>
    <w:rsid w:val="00464B92"/>
    <w:rsid w:val="00471F44"/>
    <w:rsid w:val="00472354"/>
    <w:rsid w:val="00475036"/>
    <w:rsid w:val="0048554D"/>
    <w:rsid w:val="004934B2"/>
    <w:rsid w:val="004A7777"/>
    <w:rsid w:val="004B1CC7"/>
    <w:rsid w:val="004B23C7"/>
    <w:rsid w:val="004B6F7E"/>
    <w:rsid w:val="004C411E"/>
    <w:rsid w:val="004D239D"/>
    <w:rsid w:val="004D252B"/>
    <w:rsid w:val="004D3AD6"/>
    <w:rsid w:val="004D6BA9"/>
    <w:rsid w:val="004D71C3"/>
    <w:rsid w:val="004D7C1B"/>
    <w:rsid w:val="004E073E"/>
    <w:rsid w:val="004E33A7"/>
    <w:rsid w:val="004E5DB4"/>
    <w:rsid w:val="004F06EC"/>
    <w:rsid w:val="004F252C"/>
    <w:rsid w:val="004F56D5"/>
    <w:rsid w:val="004F6B41"/>
    <w:rsid w:val="004F7BA6"/>
    <w:rsid w:val="005020AB"/>
    <w:rsid w:val="00514B8D"/>
    <w:rsid w:val="00514C24"/>
    <w:rsid w:val="005177B2"/>
    <w:rsid w:val="00521335"/>
    <w:rsid w:val="0052185E"/>
    <w:rsid w:val="005219A9"/>
    <w:rsid w:val="00531EFE"/>
    <w:rsid w:val="00545684"/>
    <w:rsid w:val="0055652D"/>
    <w:rsid w:val="00556E75"/>
    <w:rsid w:val="00562FE7"/>
    <w:rsid w:val="00563C18"/>
    <w:rsid w:val="00564588"/>
    <w:rsid w:val="005729BE"/>
    <w:rsid w:val="005754EA"/>
    <w:rsid w:val="0057684A"/>
    <w:rsid w:val="00580B62"/>
    <w:rsid w:val="00582FF1"/>
    <w:rsid w:val="00584860"/>
    <w:rsid w:val="005931F7"/>
    <w:rsid w:val="005A3046"/>
    <w:rsid w:val="005A7952"/>
    <w:rsid w:val="005B2BE9"/>
    <w:rsid w:val="005B6715"/>
    <w:rsid w:val="005B757A"/>
    <w:rsid w:val="005C0AEB"/>
    <w:rsid w:val="005C788B"/>
    <w:rsid w:val="005D1C37"/>
    <w:rsid w:val="005E3EEC"/>
    <w:rsid w:val="005E76CA"/>
    <w:rsid w:val="00610726"/>
    <w:rsid w:val="00613B78"/>
    <w:rsid w:val="00614A04"/>
    <w:rsid w:val="006159D8"/>
    <w:rsid w:val="006164A5"/>
    <w:rsid w:val="0062038A"/>
    <w:rsid w:val="00620A74"/>
    <w:rsid w:val="00636817"/>
    <w:rsid w:val="0064454C"/>
    <w:rsid w:val="00646343"/>
    <w:rsid w:val="006552A7"/>
    <w:rsid w:val="006556CC"/>
    <w:rsid w:val="006576D7"/>
    <w:rsid w:val="00663676"/>
    <w:rsid w:val="00675A6C"/>
    <w:rsid w:val="00693537"/>
    <w:rsid w:val="0069489F"/>
    <w:rsid w:val="0069722B"/>
    <w:rsid w:val="00697F6B"/>
    <w:rsid w:val="006A239F"/>
    <w:rsid w:val="006A5196"/>
    <w:rsid w:val="006B2055"/>
    <w:rsid w:val="006B45E9"/>
    <w:rsid w:val="006B6DDE"/>
    <w:rsid w:val="006B7631"/>
    <w:rsid w:val="006B7715"/>
    <w:rsid w:val="006D61AE"/>
    <w:rsid w:val="006E041D"/>
    <w:rsid w:val="006E0743"/>
    <w:rsid w:val="006F0CBA"/>
    <w:rsid w:val="006F2DF5"/>
    <w:rsid w:val="00701461"/>
    <w:rsid w:val="00711EC7"/>
    <w:rsid w:val="00712A00"/>
    <w:rsid w:val="00715122"/>
    <w:rsid w:val="00723F40"/>
    <w:rsid w:val="00730B52"/>
    <w:rsid w:val="00731F1D"/>
    <w:rsid w:val="0073208C"/>
    <w:rsid w:val="00733C02"/>
    <w:rsid w:val="00734448"/>
    <w:rsid w:val="00737E91"/>
    <w:rsid w:val="0074611E"/>
    <w:rsid w:val="007468E9"/>
    <w:rsid w:val="0074742E"/>
    <w:rsid w:val="0074745F"/>
    <w:rsid w:val="00750896"/>
    <w:rsid w:val="00752657"/>
    <w:rsid w:val="00753EA2"/>
    <w:rsid w:val="007557EA"/>
    <w:rsid w:val="00757D75"/>
    <w:rsid w:val="00764C0B"/>
    <w:rsid w:val="00765F9F"/>
    <w:rsid w:val="007670B2"/>
    <w:rsid w:val="00773EFC"/>
    <w:rsid w:val="007766E4"/>
    <w:rsid w:val="00785E8A"/>
    <w:rsid w:val="0079534D"/>
    <w:rsid w:val="00795FE3"/>
    <w:rsid w:val="007A37DC"/>
    <w:rsid w:val="007A3D20"/>
    <w:rsid w:val="007B2327"/>
    <w:rsid w:val="007D6E6F"/>
    <w:rsid w:val="007E02D1"/>
    <w:rsid w:val="008013F6"/>
    <w:rsid w:val="00805F85"/>
    <w:rsid w:val="00807632"/>
    <w:rsid w:val="008121DD"/>
    <w:rsid w:val="00814E06"/>
    <w:rsid w:val="0082769A"/>
    <w:rsid w:val="00836FAD"/>
    <w:rsid w:val="00841D40"/>
    <w:rsid w:val="00854C88"/>
    <w:rsid w:val="00855CCA"/>
    <w:rsid w:val="00857404"/>
    <w:rsid w:val="00867D78"/>
    <w:rsid w:val="008706F4"/>
    <w:rsid w:val="00872460"/>
    <w:rsid w:val="00872DC9"/>
    <w:rsid w:val="00873D34"/>
    <w:rsid w:val="0088595B"/>
    <w:rsid w:val="00885D55"/>
    <w:rsid w:val="008929BB"/>
    <w:rsid w:val="008A00C9"/>
    <w:rsid w:val="008A1543"/>
    <w:rsid w:val="008A47FC"/>
    <w:rsid w:val="008A5395"/>
    <w:rsid w:val="008B04F5"/>
    <w:rsid w:val="008B25D8"/>
    <w:rsid w:val="008B7239"/>
    <w:rsid w:val="008C2E79"/>
    <w:rsid w:val="008D0E39"/>
    <w:rsid w:val="008D6EB9"/>
    <w:rsid w:val="008E5FE8"/>
    <w:rsid w:val="008E6F91"/>
    <w:rsid w:val="008F034D"/>
    <w:rsid w:val="00900843"/>
    <w:rsid w:val="00903F31"/>
    <w:rsid w:val="00904811"/>
    <w:rsid w:val="00914098"/>
    <w:rsid w:val="00916764"/>
    <w:rsid w:val="009265E7"/>
    <w:rsid w:val="00930FF9"/>
    <w:rsid w:val="00933C95"/>
    <w:rsid w:val="00942B6D"/>
    <w:rsid w:val="00943008"/>
    <w:rsid w:val="00945204"/>
    <w:rsid w:val="0094626D"/>
    <w:rsid w:val="00947E10"/>
    <w:rsid w:val="0095597C"/>
    <w:rsid w:val="0095735D"/>
    <w:rsid w:val="00957F60"/>
    <w:rsid w:val="0096157C"/>
    <w:rsid w:val="009702AA"/>
    <w:rsid w:val="00973DDD"/>
    <w:rsid w:val="00980004"/>
    <w:rsid w:val="0098115A"/>
    <w:rsid w:val="009858FA"/>
    <w:rsid w:val="009937B7"/>
    <w:rsid w:val="00995B19"/>
    <w:rsid w:val="00997567"/>
    <w:rsid w:val="009A6CD8"/>
    <w:rsid w:val="009C3903"/>
    <w:rsid w:val="009C67AF"/>
    <w:rsid w:val="009C75D7"/>
    <w:rsid w:val="009E094E"/>
    <w:rsid w:val="009E3FDB"/>
    <w:rsid w:val="009F00AE"/>
    <w:rsid w:val="009F123F"/>
    <w:rsid w:val="009F1A52"/>
    <w:rsid w:val="009F2DF0"/>
    <w:rsid w:val="009F7A3A"/>
    <w:rsid w:val="00A31A33"/>
    <w:rsid w:val="00A327F8"/>
    <w:rsid w:val="00A342D8"/>
    <w:rsid w:val="00A420E5"/>
    <w:rsid w:val="00A42FE6"/>
    <w:rsid w:val="00A452AF"/>
    <w:rsid w:val="00A56256"/>
    <w:rsid w:val="00A65B82"/>
    <w:rsid w:val="00A66C0B"/>
    <w:rsid w:val="00A707D0"/>
    <w:rsid w:val="00A75A5A"/>
    <w:rsid w:val="00A772C7"/>
    <w:rsid w:val="00A80418"/>
    <w:rsid w:val="00A823E8"/>
    <w:rsid w:val="00A83BEE"/>
    <w:rsid w:val="00A94187"/>
    <w:rsid w:val="00AA1B45"/>
    <w:rsid w:val="00AB2F5B"/>
    <w:rsid w:val="00AB6CD7"/>
    <w:rsid w:val="00AC174D"/>
    <w:rsid w:val="00AD3D31"/>
    <w:rsid w:val="00AD74B7"/>
    <w:rsid w:val="00AE0879"/>
    <w:rsid w:val="00AF39C1"/>
    <w:rsid w:val="00B03910"/>
    <w:rsid w:val="00B07BD4"/>
    <w:rsid w:val="00B1357B"/>
    <w:rsid w:val="00B1523E"/>
    <w:rsid w:val="00B271CB"/>
    <w:rsid w:val="00B327E7"/>
    <w:rsid w:val="00B453B2"/>
    <w:rsid w:val="00B461F0"/>
    <w:rsid w:val="00B503DD"/>
    <w:rsid w:val="00B50508"/>
    <w:rsid w:val="00B553AE"/>
    <w:rsid w:val="00B55E7C"/>
    <w:rsid w:val="00B561C4"/>
    <w:rsid w:val="00B56E9F"/>
    <w:rsid w:val="00B64099"/>
    <w:rsid w:val="00B66814"/>
    <w:rsid w:val="00B70095"/>
    <w:rsid w:val="00B82BEF"/>
    <w:rsid w:val="00B85752"/>
    <w:rsid w:val="00B95F9E"/>
    <w:rsid w:val="00B975F5"/>
    <w:rsid w:val="00BA46F0"/>
    <w:rsid w:val="00BB2389"/>
    <w:rsid w:val="00BB3E91"/>
    <w:rsid w:val="00BC0067"/>
    <w:rsid w:val="00BC2126"/>
    <w:rsid w:val="00BC3487"/>
    <w:rsid w:val="00BC65EB"/>
    <w:rsid w:val="00BE2CBF"/>
    <w:rsid w:val="00BE4D32"/>
    <w:rsid w:val="00BE5055"/>
    <w:rsid w:val="00BF0782"/>
    <w:rsid w:val="00BF3120"/>
    <w:rsid w:val="00BF7592"/>
    <w:rsid w:val="00BF7C30"/>
    <w:rsid w:val="00BF7D15"/>
    <w:rsid w:val="00C127DB"/>
    <w:rsid w:val="00C1544C"/>
    <w:rsid w:val="00C17A8F"/>
    <w:rsid w:val="00C17EE4"/>
    <w:rsid w:val="00C206EB"/>
    <w:rsid w:val="00C2232A"/>
    <w:rsid w:val="00C225F3"/>
    <w:rsid w:val="00C23913"/>
    <w:rsid w:val="00C3304A"/>
    <w:rsid w:val="00C420C9"/>
    <w:rsid w:val="00C431A1"/>
    <w:rsid w:val="00C516DA"/>
    <w:rsid w:val="00C525FE"/>
    <w:rsid w:val="00C52970"/>
    <w:rsid w:val="00C53626"/>
    <w:rsid w:val="00C57E29"/>
    <w:rsid w:val="00C6069F"/>
    <w:rsid w:val="00C65953"/>
    <w:rsid w:val="00C74CC8"/>
    <w:rsid w:val="00C80FB2"/>
    <w:rsid w:val="00C81A4F"/>
    <w:rsid w:val="00C82255"/>
    <w:rsid w:val="00C902BC"/>
    <w:rsid w:val="00CA5EAE"/>
    <w:rsid w:val="00CB31AB"/>
    <w:rsid w:val="00CB5859"/>
    <w:rsid w:val="00CB69D0"/>
    <w:rsid w:val="00CC0F4A"/>
    <w:rsid w:val="00CC224E"/>
    <w:rsid w:val="00CC46C1"/>
    <w:rsid w:val="00CD0A8C"/>
    <w:rsid w:val="00CD1398"/>
    <w:rsid w:val="00CF2331"/>
    <w:rsid w:val="00CF3291"/>
    <w:rsid w:val="00CF3324"/>
    <w:rsid w:val="00CF3E6A"/>
    <w:rsid w:val="00CF41AB"/>
    <w:rsid w:val="00CF52B4"/>
    <w:rsid w:val="00D0167F"/>
    <w:rsid w:val="00D04D7C"/>
    <w:rsid w:val="00D05109"/>
    <w:rsid w:val="00D1386E"/>
    <w:rsid w:val="00D167F3"/>
    <w:rsid w:val="00D245AF"/>
    <w:rsid w:val="00D35577"/>
    <w:rsid w:val="00D35A4C"/>
    <w:rsid w:val="00D36CB4"/>
    <w:rsid w:val="00D43F0C"/>
    <w:rsid w:val="00D50AA2"/>
    <w:rsid w:val="00D51886"/>
    <w:rsid w:val="00D52074"/>
    <w:rsid w:val="00D53A3A"/>
    <w:rsid w:val="00D64325"/>
    <w:rsid w:val="00D66D0F"/>
    <w:rsid w:val="00D73502"/>
    <w:rsid w:val="00D73F13"/>
    <w:rsid w:val="00D73FCA"/>
    <w:rsid w:val="00D74B64"/>
    <w:rsid w:val="00D77606"/>
    <w:rsid w:val="00D77BE8"/>
    <w:rsid w:val="00D84687"/>
    <w:rsid w:val="00D86187"/>
    <w:rsid w:val="00D86716"/>
    <w:rsid w:val="00D86FED"/>
    <w:rsid w:val="00D87F84"/>
    <w:rsid w:val="00D90363"/>
    <w:rsid w:val="00D91D39"/>
    <w:rsid w:val="00DA79EA"/>
    <w:rsid w:val="00DB01ED"/>
    <w:rsid w:val="00DB1176"/>
    <w:rsid w:val="00DB6351"/>
    <w:rsid w:val="00DC091C"/>
    <w:rsid w:val="00DC2AF4"/>
    <w:rsid w:val="00DC5561"/>
    <w:rsid w:val="00DC55BF"/>
    <w:rsid w:val="00DD5724"/>
    <w:rsid w:val="00DD5CC3"/>
    <w:rsid w:val="00DF2847"/>
    <w:rsid w:val="00DF3C52"/>
    <w:rsid w:val="00DF431F"/>
    <w:rsid w:val="00E03521"/>
    <w:rsid w:val="00E04043"/>
    <w:rsid w:val="00E11D7C"/>
    <w:rsid w:val="00E24902"/>
    <w:rsid w:val="00E2726B"/>
    <w:rsid w:val="00E324EE"/>
    <w:rsid w:val="00E32C1C"/>
    <w:rsid w:val="00E40DB4"/>
    <w:rsid w:val="00E41C01"/>
    <w:rsid w:val="00E43D7D"/>
    <w:rsid w:val="00E44435"/>
    <w:rsid w:val="00E503F0"/>
    <w:rsid w:val="00E51B17"/>
    <w:rsid w:val="00E522C8"/>
    <w:rsid w:val="00E6167A"/>
    <w:rsid w:val="00E641DF"/>
    <w:rsid w:val="00E6671D"/>
    <w:rsid w:val="00E75339"/>
    <w:rsid w:val="00E83CFC"/>
    <w:rsid w:val="00E92E1F"/>
    <w:rsid w:val="00EA35B8"/>
    <w:rsid w:val="00EB2975"/>
    <w:rsid w:val="00EB406F"/>
    <w:rsid w:val="00EC262C"/>
    <w:rsid w:val="00EC5537"/>
    <w:rsid w:val="00EC7389"/>
    <w:rsid w:val="00EE2EF3"/>
    <w:rsid w:val="00EF37CC"/>
    <w:rsid w:val="00EF421A"/>
    <w:rsid w:val="00F1032E"/>
    <w:rsid w:val="00F1053E"/>
    <w:rsid w:val="00F128A8"/>
    <w:rsid w:val="00F231BA"/>
    <w:rsid w:val="00F26E54"/>
    <w:rsid w:val="00F44882"/>
    <w:rsid w:val="00F44E45"/>
    <w:rsid w:val="00F565DB"/>
    <w:rsid w:val="00F60BBF"/>
    <w:rsid w:val="00F64393"/>
    <w:rsid w:val="00F65372"/>
    <w:rsid w:val="00F75EDA"/>
    <w:rsid w:val="00F83C1C"/>
    <w:rsid w:val="00F924C1"/>
    <w:rsid w:val="00F96AE9"/>
    <w:rsid w:val="00F970C5"/>
    <w:rsid w:val="00FA316B"/>
    <w:rsid w:val="00FB0C15"/>
    <w:rsid w:val="00FB2EE7"/>
    <w:rsid w:val="00FB5BC7"/>
    <w:rsid w:val="00FB728B"/>
    <w:rsid w:val="00FC32B3"/>
    <w:rsid w:val="00FC3F09"/>
    <w:rsid w:val="00FC5E2F"/>
    <w:rsid w:val="00FC5FDE"/>
    <w:rsid w:val="00FD0EFB"/>
    <w:rsid w:val="00FE2200"/>
    <w:rsid w:val="00FF0AA9"/>
    <w:rsid w:val="00FF530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0B52"/>
    <w:rPr>
      <w:rFonts w:ascii="Times New Roman" w:hAnsi="Times New Roman"/>
      <w:sz w:val="24"/>
    </w:rPr>
  </w:style>
  <w:style w:type="paragraph" w:styleId="Titre1">
    <w:name w:val="heading 1"/>
    <w:basedOn w:val="Normal"/>
    <w:next w:val="Normal"/>
    <w:link w:val="Titre1Car"/>
    <w:uiPriority w:val="9"/>
    <w:qFormat/>
    <w:rsid w:val="00730B52"/>
    <w:pPr>
      <w:keepNext/>
      <w:keepLines/>
      <w:spacing w:before="480" w:after="0"/>
      <w:outlineLvl w:val="0"/>
    </w:pPr>
    <w:rPr>
      <w:rFonts w:eastAsiaTheme="majorEastAsia" w:cstheme="majorBidi"/>
      <w:b/>
      <w:bCs/>
      <w:sz w:val="28"/>
      <w:szCs w:val="28"/>
    </w:rPr>
  </w:style>
  <w:style w:type="paragraph" w:styleId="Titre2">
    <w:name w:val="heading 2"/>
    <w:basedOn w:val="Normal"/>
    <w:next w:val="Normal"/>
    <w:link w:val="Titre2Car"/>
    <w:uiPriority w:val="9"/>
    <w:unhideWhenUsed/>
    <w:qFormat/>
    <w:rsid w:val="00764C0B"/>
    <w:pPr>
      <w:keepNext/>
      <w:keepLines/>
      <w:spacing w:before="200" w:after="0"/>
      <w:outlineLvl w:val="1"/>
    </w:pPr>
    <w:rPr>
      <w:rFonts w:eastAsiaTheme="majorEastAsia" w:cstheme="majorBidi"/>
      <w:b/>
      <w:bCs/>
      <w:sz w:val="26"/>
      <w:szCs w:val="26"/>
    </w:rPr>
  </w:style>
  <w:style w:type="paragraph" w:styleId="Titre3">
    <w:name w:val="heading 3"/>
    <w:basedOn w:val="Normal"/>
    <w:next w:val="Normal"/>
    <w:link w:val="Titre3Car"/>
    <w:uiPriority w:val="9"/>
    <w:unhideWhenUsed/>
    <w:qFormat/>
    <w:rsid w:val="002D2746"/>
    <w:pPr>
      <w:keepNext/>
      <w:keepLines/>
      <w:spacing w:before="200" w:after="0"/>
      <w:outlineLvl w:val="2"/>
    </w:pPr>
    <w:rPr>
      <w:rFonts w:eastAsiaTheme="majorEastAsia" w:cstheme="majorBidi"/>
      <w:b/>
      <w:bCs/>
    </w:rPr>
  </w:style>
  <w:style w:type="paragraph" w:styleId="Titre4">
    <w:name w:val="heading 4"/>
    <w:basedOn w:val="Normal"/>
    <w:next w:val="Normal"/>
    <w:link w:val="Titre4Car"/>
    <w:uiPriority w:val="9"/>
    <w:unhideWhenUsed/>
    <w:qFormat/>
    <w:rsid w:val="00730B52"/>
    <w:pPr>
      <w:keepNext/>
      <w:keepLines/>
      <w:spacing w:before="200" w:after="0" w:line="360" w:lineRule="auto"/>
      <w:outlineLvl w:val="3"/>
    </w:pPr>
    <w:rPr>
      <w:rFonts w:eastAsiaTheme="majorEastAsia" w:cstheme="majorBidi"/>
      <w:b/>
      <w:bCs/>
      <w:i/>
      <w:iCs/>
      <w:sz w:val="22"/>
    </w:rPr>
  </w:style>
  <w:style w:type="paragraph" w:styleId="Titre5">
    <w:name w:val="heading 5"/>
    <w:basedOn w:val="Normal"/>
    <w:next w:val="Normal"/>
    <w:link w:val="Titre5Car"/>
    <w:uiPriority w:val="9"/>
    <w:semiHidden/>
    <w:unhideWhenUsed/>
    <w:qFormat/>
    <w:rsid w:val="00610726"/>
    <w:pPr>
      <w:keepNext/>
      <w:keepLines/>
      <w:spacing w:before="200" w:after="0"/>
      <w:outlineLvl w:val="4"/>
    </w:pPr>
    <w:rPr>
      <w:rFonts w:asciiTheme="majorHAnsi" w:eastAsiaTheme="majorEastAsia" w:hAnsiTheme="majorHAnsi" w:cstheme="majorBidi"/>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30B52"/>
    <w:rPr>
      <w:rFonts w:ascii="Times New Roman" w:eastAsiaTheme="majorEastAsia" w:hAnsi="Times New Roman" w:cstheme="majorBidi"/>
      <w:b/>
      <w:bCs/>
      <w:sz w:val="28"/>
      <w:szCs w:val="28"/>
    </w:rPr>
  </w:style>
  <w:style w:type="character" w:customStyle="1" w:styleId="Titre2Car">
    <w:name w:val="Titre 2 Car"/>
    <w:basedOn w:val="Policepardfaut"/>
    <w:link w:val="Titre2"/>
    <w:uiPriority w:val="9"/>
    <w:rsid w:val="00764C0B"/>
    <w:rPr>
      <w:rFonts w:ascii="Times New Roman" w:eastAsiaTheme="majorEastAsia" w:hAnsi="Times New Roman" w:cstheme="majorBidi"/>
      <w:b/>
      <w:bCs/>
      <w:sz w:val="26"/>
      <w:szCs w:val="26"/>
    </w:rPr>
  </w:style>
  <w:style w:type="character" w:customStyle="1" w:styleId="Titre3Car">
    <w:name w:val="Titre 3 Car"/>
    <w:basedOn w:val="Policepardfaut"/>
    <w:link w:val="Titre3"/>
    <w:uiPriority w:val="9"/>
    <w:rsid w:val="002D2746"/>
    <w:rPr>
      <w:rFonts w:ascii="Times New Roman" w:eastAsiaTheme="majorEastAsia" w:hAnsi="Times New Roman" w:cstheme="majorBidi"/>
      <w:b/>
      <w:bCs/>
      <w:sz w:val="24"/>
    </w:rPr>
  </w:style>
  <w:style w:type="character" w:customStyle="1" w:styleId="Titre4Car">
    <w:name w:val="Titre 4 Car"/>
    <w:basedOn w:val="Policepardfaut"/>
    <w:link w:val="Titre4"/>
    <w:uiPriority w:val="9"/>
    <w:rsid w:val="00730B52"/>
    <w:rPr>
      <w:rFonts w:ascii="Times New Roman" w:eastAsiaTheme="majorEastAsia" w:hAnsi="Times New Roman" w:cstheme="majorBidi"/>
      <w:b/>
      <w:bCs/>
      <w:i/>
      <w:iCs/>
    </w:rPr>
  </w:style>
  <w:style w:type="character" w:styleId="Lienhypertexte">
    <w:name w:val="Hyperlink"/>
    <w:basedOn w:val="Policepardfaut"/>
    <w:uiPriority w:val="99"/>
    <w:unhideWhenUsed/>
    <w:rsid w:val="00730B52"/>
    <w:rPr>
      <w:color w:val="0000FF"/>
      <w:u w:val="single"/>
    </w:rPr>
  </w:style>
  <w:style w:type="paragraph" w:styleId="NormalWeb">
    <w:name w:val="Normal (Web)"/>
    <w:basedOn w:val="Normal"/>
    <w:uiPriority w:val="99"/>
    <w:semiHidden/>
    <w:unhideWhenUsed/>
    <w:rsid w:val="00730B52"/>
    <w:pPr>
      <w:spacing w:before="100" w:beforeAutospacing="1" w:after="100" w:afterAutospacing="1" w:line="240" w:lineRule="auto"/>
    </w:pPr>
    <w:rPr>
      <w:rFonts w:eastAsia="Times New Roman" w:cs="Times New Roman"/>
      <w:szCs w:val="24"/>
      <w:lang w:eastAsia="fr-FR"/>
    </w:rPr>
  </w:style>
  <w:style w:type="paragraph" w:customStyle="1" w:styleId="volissue">
    <w:name w:val="volissue"/>
    <w:basedOn w:val="Normal"/>
    <w:rsid w:val="00730B52"/>
    <w:pPr>
      <w:spacing w:before="100" w:beforeAutospacing="1" w:after="100" w:afterAutospacing="1" w:line="240" w:lineRule="auto"/>
    </w:pPr>
    <w:rPr>
      <w:rFonts w:eastAsia="Times New Roman" w:cs="Times New Roman"/>
      <w:szCs w:val="24"/>
      <w:lang w:eastAsia="fr-FR"/>
    </w:rPr>
  </w:style>
  <w:style w:type="paragraph" w:styleId="Textedebulles">
    <w:name w:val="Balloon Text"/>
    <w:basedOn w:val="Normal"/>
    <w:link w:val="TextedebullesCar"/>
    <w:uiPriority w:val="99"/>
    <w:semiHidden/>
    <w:unhideWhenUsed/>
    <w:rsid w:val="00730B5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30B52"/>
    <w:rPr>
      <w:rFonts w:ascii="Tahoma" w:hAnsi="Tahoma" w:cs="Tahoma"/>
      <w:sz w:val="16"/>
      <w:szCs w:val="16"/>
    </w:rPr>
  </w:style>
  <w:style w:type="character" w:styleId="Accentuation">
    <w:name w:val="Emphasis"/>
    <w:basedOn w:val="Policepardfaut"/>
    <w:uiPriority w:val="20"/>
    <w:qFormat/>
    <w:rsid w:val="00730B52"/>
    <w:rPr>
      <w:i/>
      <w:iCs/>
    </w:rPr>
  </w:style>
  <w:style w:type="character" w:customStyle="1" w:styleId="apple-converted-space">
    <w:name w:val="apple-converted-space"/>
    <w:basedOn w:val="Policepardfaut"/>
    <w:rsid w:val="00730B52"/>
  </w:style>
  <w:style w:type="character" w:styleId="lev">
    <w:name w:val="Strong"/>
    <w:basedOn w:val="Policepardfaut"/>
    <w:uiPriority w:val="22"/>
    <w:qFormat/>
    <w:rsid w:val="00730B52"/>
    <w:rPr>
      <w:b/>
      <w:bCs/>
    </w:rPr>
  </w:style>
  <w:style w:type="paragraph" w:styleId="Lgende">
    <w:name w:val="caption"/>
    <w:basedOn w:val="Normal"/>
    <w:next w:val="Normal"/>
    <w:uiPriority w:val="35"/>
    <w:unhideWhenUsed/>
    <w:qFormat/>
    <w:rsid w:val="00730B52"/>
    <w:pPr>
      <w:spacing w:line="240" w:lineRule="auto"/>
    </w:pPr>
    <w:rPr>
      <w:b/>
      <w:bCs/>
      <w:color w:val="4F81BD" w:themeColor="accent1"/>
      <w:sz w:val="18"/>
      <w:szCs w:val="18"/>
    </w:rPr>
  </w:style>
  <w:style w:type="paragraph" w:styleId="Paragraphedeliste">
    <w:name w:val="List Paragraph"/>
    <w:basedOn w:val="Normal"/>
    <w:uiPriority w:val="99"/>
    <w:qFormat/>
    <w:rsid w:val="00730B52"/>
    <w:pPr>
      <w:spacing w:line="360" w:lineRule="auto"/>
      <w:ind w:left="720"/>
      <w:contextualSpacing/>
    </w:pPr>
  </w:style>
  <w:style w:type="character" w:customStyle="1" w:styleId="A13">
    <w:name w:val="A13"/>
    <w:uiPriority w:val="99"/>
    <w:rsid w:val="00730B52"/>
    <w:rPr>
      <w:rFonts w:cs="Garamond Premr Pro"/>
      <w:color w:val="000000"/>
      <w:sz w:val="21"/>
      <w:szCs w:val="21"/>
    </w:rPr>
  </w:style>
  <w:style w:type="paragraph" w:customStyle="1" w:styleId="Pa0">
    <w:name w:val="Pa0"/>
    <w:basedOn w:val="Normal"/>
    <w:next w:val="Normal"/>
    <w:uiPriority w:val="99"/>
    <w:rsid w:val="00730B52"/>
    <w:pPr>
      <w:autoSpaceDE w:val="0"/>
      <w:autoSpaceDN w:val="0"/>
      <w:adjustRightInd w:val="0"/>
      <w:spacing w:after="0" w:line="241" w:lineRule="atLeast"/>
    </w:pPr>
    <w:rPr>
      <w:rFonts w:ascii="Gill Sans MT Std Condensed" w:hAnsi="Gill Sans MT Std Condensed"/>
      <w:szCs w:val="24"/>
    </w:rPr>
  </w:style>
  <w:style w:type="character" w:customStyle="1" w:styleId="A0">
    <w:name w:val="A0"/>
    <w:uiPriority w:val="99"/>
    <w:rsid w:val="00730B52"/>
    <w:rPr>
      <w:rFonts w:cs="Gill Sans MT Std Condensed"/>
      <w:b/>
      <w:bCs/>
      <w:color w:val="000000"/>
      <w:sz w:val="32"/>
      <w:szCs w:val="32"/>
    </w:rPr>
  </w:style>
  <w:style w:type="paragraph" w:customStyle="1" w:styleId="Default">
    <w:name w:val="Default"/>
    <w:rsid w:val="00730B52"/>
    <w:pPr>
      <w:autoSpaceDE w:val="0"/>
      <w:autoSpaceDN w:val="0"/>
      <w:adjustRightInd w:val="0"/>
      <w:spacing w:after="0" w:line="240" w:lineRule="auto"/>
    </w:pPr>
    <w:rPr>
      <w:rFonts w:ascii="Gill Sans MT Std Condensed" w:hAnsi="Gill Sans MT Std Condensed" w:cs="Gill Sans MT Std Condensed"/>
      <w:color w:val="000000"/>
      <w:sz w:val="24"/>
      <w:szCs w:val="24"/>
    </w:rPr>
  </w:style>
  <w:style w:type="paragraph" w:styleId="Notedefin">
    <w:name w:val="endnote text"/>
    <w:basedOn w:val="Normal"/>
    <w:link w:val="NotedefinCar"/>
    <w:uiPriority w:val="99"/>
    <w:semiHidden/>
    <w:unhideWhenUsed/>
    <w:rsid w:val="00730B52"/>
    <w:pPr>
      <w:spacing w:after="0" w:line="240" w:lineRule="auto"/>
    </w:pPr>
    <w:rPr>
      <w:sz w:val="20"/>
      <w:szCs w:val="20"/>
    </w:rPr>
  </w:style>
  <w:style w:type="character" w:customStyle="1" w:styleId="NotedefinCar">
    <w:name w:val="Note de fin Car"/>
    <w:basedOn w:val="Policepardfaut"/>
    <w:link w:val="Notedefin"/>
    <w:uiPriority w:val="99"/>
    <w:semiHidden/>
    <w:rsid w:val="00730B52"/>
    <w:rPr>
      <w:rFonts w:ascii="Times New Roman" w:hAnsi="Times New Roman"/>
      <w:sz w:val="20"/>
      <w:szCs w:val="20"/>
    </w:rPr>
  </w:style>
  <w:style w:type="character" w:styleId="Appeldenotedefin">
    <w:name w:val="endnote reference"/>
    <w:basedOn w:val="Policepardfaut"/>
    <w:uiPriority w:val="99"/>
    <w:semiHidden/>
    <w:unhideWhenUsed/>
    <w:rsid w:val="00730B52"/>
    <w:rPr>
      <w:vertAlign w:val="superscript"/>
    </w:rPr>
  </w:style>
  <w:style w:type="paragraph" w:styleId="Notedebasdepage">
    <w:name w:val="footnote text"/>
    <w:basedOn w:val="Normal"/>
    <w:link w:val="NotedebasdepageCar"/>
    <w:uiPriority w:val="99"/>
    <w:semiHidden/>
    <w:unhideWhenUsed/>
    <w:rsid w:val="00730B52"/>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730B52"/>
    <w:rPr>
      <w:rFonts w:ascii="Times New Roman" w:hAnsi="Times New Roman"/>
      <w:sz w:val="20"/>
      <w:szCs w:val="20"/>
    </w:rPr>
  </w:style>
  <w:style w:type="character" w:styleId="Appelnotedebasdep">
    <w:name w:val="footnote reference"/>
    <w:basedOn w:val="Policepardfaut"/>
    <w:uiPriority w:val="99"/>
    <w:semiHidden/>
    <w:unhideWhenUsed/>
    <w:rsid w:val="00730B52"/>
    <w:rPr>
      <w:vertAlign w:val="superscript"/>
    </w:rPr>
  </w:style>
  <w:style w:type="paragraph" w:styleId="Explorateurdedocuments">
    <w:name w:val="Document Map"/>
    <w:basedOn w:val="Normal"/>
    <w:link w:val="ExplorateurdedocumentsCar"/>
    <w:uiPriority w:val="99"/>
    <w:semiHidden/>
    <w:unhideWhenUsed/>
    <w:rsid w:val="00730B52"/>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730B52"/>
    <w:rPr>
      <w:rFonts w:ascii="Tahoma" w:hAnsi="Tahoma" w:cs="Tahoma"/>
      <w:sz w:val="16"/>
      <w:szCs w:val="16"/>
    </w:rPr>
  </w:style>
  <w:style w:type="table" w:styleId="Grilledutableau">
    <w:name w:val="Table Grid"/>
    <w:basedOn w:val="TableauNormal"/>
    <w:uiPriority w:val="59"/>
    <w:rsid w:val="00730B5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abledesillustrations">
    <w:name w:val="table of figures"/>
    <w:basedOn w:val="Normal"/>
    <w:next w:val="Normal"/>
    <w:uiPriority w:val="99"/>
    <w:unhideWhenUsed/>
    <w:rsid w:val="00730B52"/>
    <w:pPr>
      <w:spacing w:after="0" w:line="360" w:lineRule="auto"/>
    </w:pPr>
  </w:style>
  <w:style w:type="character" w:styleId="Textedelespacerserv">
    <w:name w:val="Placeholder Text"/>
    <w:basedOn w:val="Policepardfaut"/>
    <w:uiPriority w:val="99"/>
    <w:semiHidden/>
    <w:rsid w:val="00730B52"/>
    <w:rPr>
      <w:color w:val="808080"/>
    </w:rPr>
  </w:style>
  <w:style w:type="table" w:customStyle="1" w:styleId="Ombrageclair1">
    <w:name w:val="Ombrage clair1"/>
    <w:basedOn w:val="TableauNormal"/>
    <w:uiPriority w:val="60"/>
    <w:rsid w:val="00730B5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stemoyenne11">
    <w:name w:val="Liste moyenne 11"/>
    <w:basedOn w:val="TableauNormal"/>
    <w:uiPriority w:val="65"/>
    <w:rsid w:val="00730B52"/>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Listemoyenne21">
    <w:name w:val="Liste moyenne 21"/>
    <w:basedOn w:val="TableauNormal"/>
    <w:uiPriority w:val="66"/>
    <w:rsid w:val="00730B5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Tramemoyenne21">
    <w:name w:val="Trame moyenne 21"/>
    <w:basedOn w:val="TableauNormal"/>
    <w:uiPriority w:val="64"/>
    <w:rsid w:val="00730B5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Tramemoyenne11">
    <w:name w:val="Trame moyenne 11"/>
    <w:basedOn w:val="TableauNormal"/>
    <w:uiPriority w:val="63"/>
    <w:rsid w:val="00730B52"/>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Grillemoyenne1-Accent5">
    <w:name w:val="Medium Grid 1 Accent 5"/>
    <w:basedOn w:val="TableauNormal"/>
    <w:uiPriority w:val="67"/>
    <w:rsid w:val="00730B52"/>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Tramemoyenne2-Accent6">
    <w:name w:val="Medium Shading 2 Accent 6"/>
    <w:basedOn w:val="TableauNormal"/>
    <w:uiPriority w:val="64"/>
    <w:rsid w:val="00730B5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Grilleclaire1">
    <w:name w:val="Grille claire1"/>
    <w:basedOn w:val="TableauNormal"/>
    <w:uiPriority w:val="62"/>
    <w:rsid w:val="00730B5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En-ttedetabledesmatires">
    <w:name w:val="TOC Heading"/>
    <w:basedOn w:val="Titre1"/>
    <w:next w:val="Normal"/>
    <w:uiPriority w:val="39"/>
    <w:unhideWhenUsed/>
    <w:qFormat/>
    <w:rsid w:val="00730B52"/>
    <w:pPr>
      <w:outlineLvl w:val="9"/>
    </w:pPr>
    <w:rPr>
      <w:rFonts w:asciiTheme="majorHAnsi" w:hAnsiTheme="majorHAnsi"/>
      <w:color w:val="365F91" w:themeColor="accent1" w:themeShade="BF"/>
    </w:rPr>
  </w:style>
  <w:style w:type="paragraph" w:styleId="TM1">
    <w:name w:val="toc 1"/>
    <w:basedOn w:val="Normal"/>
    <w:next w:val="Normal"/>
    <w:autoRedefine/>
    <w:uiPriority w:val="39"/>
    <w:unhideWhenUsed/>
    <w:rsid w:val="009265E7"/>
    <w:pPr>
      <w:tabs>
        <w:tab w:val="right" w:leader="dot" w:pos="9062"/>
      </w:tabs>
      <w:spacing w:after="100" w:line="360" w:lineRule="auto"/>
    </w:pPr>
    <w:rPr>
      <w:b/>
      <w:bCs/>
      <w:noProof/>
    </w:rPr>
  </w:style>
  <w:style w:type="paragraph" w:styleId="TM2">
    <w:name w:val="toc 2"/>
    <w:basedOn w:val="Normal"/>
    <w:next w:val="Normal"/>
    <w:autoRedefine/>
    <w:uiPriority w:val="39"/>
    <w:unhideWhenUsed/>
    <w:rsid w:val="00730B52"/>
    <w:pPr>
      <w:spacing w:after="100" w:line="360" w:lineRule="auto"/>
      <w:ind w:left="240"/>
    </w:pPr>
  </w:style>
  <w:style w:type="paragraph" w:styleId="TM3">
    <w:name w:val="toc 3"/>
    <w:basedOn w:val="Normal"/>
    <w:next w:val="Normal"/>
    <w:autoRedefine/>
    <w:uiPriority w:val="39"/>
    <w:unhideWhenUsed/>
    <w:rsid w:val="00730B52"/>
    <w:pPr>
      <w:spacing w:after="100" w:line="360" w:lineRule="auto"/>
      <w:ind w:left="480"/>
    </w:pPr>
  </w:style>
  <w:style w:type="character" w:customStyle="1" w:styleId="A4">
    <w:name w:val="A4"/>
    <w:uiPriority w:val="99"/>
    <w:rsid w:val="00730B52"/>
    <w:rPr>
      <w:rFonts w:cs="Garamond Premr Pro"/>
      <w:color w:val="000000"/>
      <w:sz w:val="20"/>
      <w:szCs w:val="20"/>
    </w:rPr>
  </w:style>
  <w:style w:type="character" w:customStyle="1" w:styleId="A6">
    <w:name w:val="A6"/>
    <w:uiPriority w:val="99"/>
    <w:rsid w:val="00730B52"/>
    <w:rPr>
      <w:rFonts w:cs="Garamond Premr Pro"/>
      <w:color w:val="000000"/>
      <w:sz w:val="28"/>
      <w:szCs w:val="28"/>
    </w:rPr>
  </w:style>
  <w:style w:type="character" w:customStyle="1" w:styleId="Titre5Car">
    <w:name w:val="Titre 5 Car"/>
    <w:basedOn w:val="Policepardfaut"/>
    <w:link w:val="Titre5"/>
    <w:uiPriority w:val="9"/>
    <w:semiHidden/>
    <w:rsid w:val="00610726"/>
    <w:rPr>
      <w:rFonts w:asciiTheme="majorHAnsi" w:eastAsiaTheme="majorEastAsia" w:hAnsiTheme="majorHAnsi" w:cstheme="majorBidi"/>
      <w:sz w:val="24"/>
    </w:rPr>
  </w:style>
  <w:style w:type="paragraph" w:styleId="Bibliographie">
    <w:name w:val="Bibliography"/>
    <w:basedOn w:val="Normal"/>
    <w:next w:val="Normal"/>
    <w:uiPriority w:val="37"/>
    <w:unhideWhenUsed/>
    <w:rsid w:val="00B975F5"/>
  </w:style>
  <w:style w:type="paragraph" w:styleId="En-tte">
    <w:name w:val="header"/>
    <w:basedOn w:val="Normal"/>
    <w:link w:val="En-tteCar"/>
    <w:uiPriority w:val="99"/>
    <w:semiHidden/>
    <w:unhideWhenUsed/>
    <w:rsid w:val="00D73F13"/>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D73F13"/>
    <w:rPr>
      <w:rFonts w:ascii="Times New Roman" w:hAnsi="Times New Roman"/>
      <w:sz w:val="24"/>
    </w:rPr>
  </w:style>
  <w:style w:type="paragraph" w:styleId="Pieddepage">
    <w:name w:val="footer"/>
    <w:basedOn w:val="Normal"/>
    <w:link w:val="PieddepageCar"/>
    <w:uiPriority w:val="99"/>
    <w:unhideWhenUsed/>
    <w:rsid w:val="00D73F1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73F13"/>
    <w:rPr>
      <w:rFonts w:ascii="Times New Roman" w:hAnsi="Times New Roman"/>
      <w:sz w:val="24"/>
    </w:rPr>
  </w:style>
</w:styles>
</file>

<file path=word/webSettings.xml><?xml version="1.0" encoding="utf-8"?>
<w:webSettings xmlns:r="http://schemas.openxmlformats.org/officeDocument/2006/relationships" xmlns:w="http://schemas.openxmlformats.org/wordprocessingml/2006/main">
  <w:divs>
    <w:div w:id="807552196">
      <w:bodyDiv w:val="1"/>
      <w:marLeft w:val="0"/>
      <w:marRight w:val="0"/>
      <w:marTop w:val="0"/>
      <w:marBottom w:val="0"/>
      <w:divBdr>
        <w:top w:val="none" w:sz="0" w:space="0" w:color="auto"/>
        <w:left w:val="none" w:sz="0" w:space="0" w:color="auto"/>
        <w:bottom w:val="none" w:sz="0" w:space="0" w:color="auto"/>
        <w:right w:val="none" w:sz="0" w:space="0" w:color="auto"/>
      </w:divBdr>
    </w:div>
    <w:div w:id="1231500567">
      <w:bodyDiv w:val="1"/>
      <w:marLeft w:val="0"/>
      <w:marRight w:val="0"/>
      <w:marTop w:val="0"/>
      <w:marBottom w:val="0"/>
      <w:divBdr>
        <w:top w:val="none" w:sz="0" w:space="0" w:color="auto"/>
        <w:left w:val="none" w:sz="0" w:space="0" w:color="auto"/>
        <w:bottom w:val="none" w:sz="0" w:space="0" w:color="auto"/>
        <w:right w:val="none" w:sz="0" w:space="0" w:color="auto"/>
      </w:divBdr>
    </w:div>
    <w:div w:id="1408576040">
      <w:bodyDiv w:val="1"/>
      <w:marLeft w:val="0"/>
      <w:marRight w:val="0"/>
      <w:marTop w:val="0"/>
      <w:marBottom w:val="0"/>
      <w:divBdr>
        <w:top w:val="none" w:sz="0" w:space="0" w:color="auto"/>
        <w:left w:val="none" w:sz="0" w:space="0" w:color="auto"/>
        <w:bottom w:val="none" w:sz="0" w:space="0" w:color="auto"/>
        <w:right w:val="none" w:sz="0" w:space="0" w:color="auto"/>
      </w:divBdr>
    </w:div>
    <w:div w:id="1434396844">
      <w:bodyDiv w:val="1"/>
      <w:marLeft w:val="0"/>
      <w:marRight w:val="0"/>
      <w:marTop w:val="0"/>
      <w:marBottom w:val="0"/>
      <w:divBdr>
        <w:top w:val="none" w:sz="0" w:space="0" w:color="auto"/>
        <w:left w:val="none" w:sz="0" w:space="0" w:color="auto"/>
        <w:bottom w:val="none" w:sz="0" w:space="0" w:color="auto"/>
        <w:right w:val="none" w:sz="0" w:space="0" w:color="auto"/>
      </w:divBdr>
    </w:div>
    <w:div w:id="1481657309">
      <w:bodyDiv w:val="1"/>
      <w:marLeft w:val="0"/>
      <w:marRight w:val="0"/>
      <w:marTop w:val="0"/>
      <w:marBottom w:val="0"/>
      <w:divBdr>
        <w:top w:val="none" w:sz="0" w:space="0" w:color="auto"/>
        <w:left w:val="none" w:sz="0" w:space="0" w:color="auto"/>
        <w:bottom w:val="none" w:sz="0" w:space="0" w:color="auto"/>
        <w:right w:val="none" w:sz="0" w:space="0" w:color="auto"/>
      </w:divBdr>
    </w:div>
    <w:div w:id="1540360687">
      <w:bodyDiv w:val="1"/>
      <w:marLeft w:val="0"/>
      <w:marRight w:val="0"/>
      <w:marTop w:val="0"/>
      <w:marBottom w:val="0"/>
      <w:divBdr>
        <w:top w:val="none" w:sz="0" w:space="0" w:color="auto"/>
        <w:left w:val="none" w:sz="0" w:space="0" w:color="auto"/>
        <w:bottom w:val="none" w:sz="0" w:space="0" w:color="auto"/>
        <w:right w:val="none" w:sz="0" w:space="0" w:color="auto"/>
      </w:divBdr>
    </w:div>
    <w:div w:id="1721435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b:Source>
    <b:Tag>YSC14</b:Tag>
    <b:SourceType>Book</b:SourceType>
    <b:Guid>{8E8E9212-B790-4768-9E75-0A91ADBB4BB2}</b:Guid>
    <b:Author>
      <b:Author>
        <b:NameList>
          <b:Person>
            <b:Last>Y.S. CORDOLIANI</b:Last>
            <b:First>H.</b:First>
            <b:Middle>FOEHRENBACH</b:Middle>
          </b:Person>
        </b:NameList>
      </b:Author>
    </b:Author>
    <b:Title>Radioprotection en milieu médical.  Principes et mise en pratique. Exposition naturelle et artificielle</b:Title>
    <b:Year>2014</b:Year>
    <b:RefOrder>1</b:RefOrder>
  </b:Source>
  <b:Source>
    <b:Tag>JOU05</b:Tag>
    <b:SourceType>ArticleInAPeriodical</b:SourceType>
    <b:Guid>{E1C7875D-5969-4329-88B5-D21A12FCD2F6}</b:Guid>
    <b:Author>
      <b:Author>
        <b:Corporate>Décret présidentiel n° 05-117</b:Corporate>
      </b:Author>
    </b:Author>
    <b:Title>mesures de protection contre les rayonnements ionisants</b:Title>
    <b:Year>2005</b:Year>
    <b:PeriodicalTitle>Journal officiel de la république algérienne</b:PeriodicalTitle>
    <b:Issue>27</b:Issue>
    <b:RefOrder>12</b:RefOrder>
  </b:Source>
  <b:Source>
    <b:Tag>Log09</b:Tag>
    <b:SourceType>Book</b:SourceType>
    <b:Guid>{FC7783C1-14B2-4CC8-A57A-759DA55ED7C1}</b:Guid>
    <b:Author>
      <b:Author>
        <b:Corporate>Logiciel AIDE</b:Corporate>
      </b:Author>
    </b:Author>
    <b:Title>Activity And Internal Dose Estimates. Reference Manual Version 7.0 ; </b:Title>
    <b:Year>2009</b:Year>
    <b:RefOrder>3</b:RefOrder>
  </b:Source>
  <b:Source>
    <b:Tag>Age14</b:Tag>
    <b:SourceType>Report</b:SourceType>
    <b:Guid>{8CC76D1F-879D-4973-BC1E-B717BFFCC65E}</b:Guid>
    <b:Author>
      <b:Author>
        <b:Corporate>Agence Internationale de l’Energie Atomique AIEA (b)</b:Corporate>
      </b:Author>
    </b:Author>
    <b:Title>The environmental behaviour of radium</b:Title>
    <b:Year>2014</b:Year>
    <b:ThesisType>Technical reports series</b:ThesisType>
    <b:StandardNumber>N° 476</b:StandardNumber>
    <b:Comments>Vol.1</b:Comments>
    <b:RefOrder>4</b:RefOrder>
  </b:Source>
  <b:Source>
    <b:Tag>Age03</b:Tag>
    <b:SourceType>Report</b:SourceType>
    <b:Guid>{54952044-AD0A-4585-B202-9DDBA39889DD}</b:Guid>
    <b:Author>
      <b:Author>
        <b:Corporate>Agence Internationale de l’Energie Atomique AIEA (a)</b:Corporate>
      </b:Author>
    </b:Author>
    <b:Title>Radiation Protection and the Management of Radioactive Waste in the Oil and Gas Industry</b:Title>
    <b:Year>2003</b:Year>
    <b:StandardNumber>No.34</b:StandardNumber>
    <b:ThesisType>Safety Reports Series </b:ThesisType>
    <b:RefOrder>2</b:RefOrder>
  </b:Source>
  <b:Source>
    <b:Tag>The08</b:Tag>
    <b:SourceType>Report</b:SourceType>
    <b:Guid>{54D40B6C-37B7-4515-8D97-224CD6DABC36}</b:Guid>
    <b:Author>
      <b:Author>
        <b:Corporate>The International Association of Oil &amp; Gas Producers</b:Corporate>
      </b:Author>
    </b:Author>
    <b:Title>Guidelines for the management of Naturally Occurring Radioactive Material (NORM) in the oil &amp; gas industry</b:Title>
    <b:Year>2008</b:Year>
    <b:StandardNumber>No. 412</b:StandardNumber>
    <b:RefOrder>5</b:RefOrder>
  </b:Source>
  <b:Source>
    <b:Tag>JBO05</b:Tag>
    <b:SourceType>Book</b:SourceType>
    <b:Guid>{4069F057-B743-4AC8-A0D0-6524BFE064D9}</b:Guid>
    <b:Author>
      <b:Author>
        <b:NameList>
          <b:Person>
            <b:Last>J. BONNEMAINS</b:Last>
            <b:First>Charlotte</b:First>
            <b:Middle>NITHART ,C. BOSSARD, M. POTTER, M. FORBES, C. ILIEV, M. WINSLOW, L. DEHAVEN</b:Middle>
          </b:Person>
        </b:NameList>
      </b:Author>
    </b:Author>
    <b:Title>La radioactivité naturelle technologiquement renforcée</b:Title>
    <b:Year>2005</b:Year>
    <b:Comments>Association de protection de l'Homme et de l'environnement Robin des Bois</b:Comments>
    <b:RefOrder>7</b:RefOrder>
  </b:Source>
  <b:Source xmlns:b="http://schemas.openxmlformats.org/officeDocument/2006/bibliography">
    <b:Tag>Age12</b:Tag>
    <b:SourceType>Report</b:SourceType>
    <b:Guid>{06169240-2310-42A4-947B-69C456113E9C}</b:Guid>
    <b:Author>
      <b:Author>
        <b:Corporate>Agence Internationale de l’Energie Atomique AIEA (c)</b:Corporate>
      </b:Author>
    </b:Author>
    <b:Title>Assessing the need for radiation protection measures in work involving minerals and raw materials</b:Title>
    <b:Year>2012</b:Year>
    <b:ThesisType>Safety Report </b:ThesisType>
    <b:StandardNumber>No. 49</b:StandardNumber>
    <b:RefOrder>6</b:RefOrder>
  </b:Source>
  <b:Source>
    <b:Tag>AMH01</b:Tag>
    <b:SourceType>Book</b:SourceType>
    <b:Guid>{B350F9B9-1334-4DAA-A27A-95C54EA7D8C0}</b:Guid>
    <b:Author>
      <b:Author>
        <b:NameList>
          <b:Person>
            <b:Last>A.M.H.VAN DER VEEN</b:Last>
            <b:First>T.</b:First>
            <b:Middle>LINSINGER, J. PAUWELS</b:Middle>
          </b:Person>
        </b:NameList>
      </b:Author>
    </b:Author>
    <b:Title>Uncertainty calculations in the certification of reference materials (2-Homogeneity study)</b:Title>
    <b:Year>2001</b:Year>
    <b:Comments> Accred. Qual. Assur. 6, 26 </b:Comments>
    <b:RefOrder>8</b:RefOrder>
  </b:Source>
  <b:Source>
    <b:Tag>RBI95</b:Tag>
    <b:SourceType>Book</b:SourceType>
    <b:Guid>{9485E771-D356-496E-968A-CC10F9971A12}</b:Guid>
    <b:Author>
      <b:Author>
        <b:NameList>
          <b:Person>
            <b:Last>R. BIAGINI</b:Last>
            <b:First>R.</b:First>
            <b:Middle>DERSCH, P. DE FELICE, S.M. JEROME, E.M.E. PERKIN, C. PONA, J. DE SANOIT, M.J. WOODS</b:Middle>
          </b:Person>
        </b:NameList>
      </b:Author>
    </b:Author>
    <b:Title>Homogeneity testing of spiked reference materials</b:Title>
    <b:Year>1995</b:Year>
    <b:Comments> Sci. Total Environ. 173/174, 267–274 </b:Comments>
    <b:RefOrder>9</b:RefOrder>
  </b:Source>
  <b:Source>
    <b:Tag>CAN10</b:Tag>
    <b:SourceType>Book</b:SourceType>
    <b:Guid>{12EFCD5C-E618-48E8-ABD8-B04ADCC4E4F3}</b:Guid>
    <b:Author>
      <b:Author>
        <b:Corporate>CANBERRA France</b:Corporate>
      </b:Author>
    </b:Author>
    <b:Title>Logiciel de spectrométrie Manuel d’utilisation</b:Title>
    <b:Year>2010</b:Year>
    <b:CountryRegion>France</b:CountryRegion>
    <b:Comments>Ref. / 80032_c</b:Comments>
    <b:RefOrder>10</b:RefOrder>
  </b:Source>
  <b:Source>
    <b:Tag>GJO</b:Tag>
    <b:SourceType>Book</b:SourceType>
    <b:Guid>{4A588216-06FF-4960-8C91-630C9B4EA9A9}</b:Guid>
    <b:Author>
      <b:Author>
        <b:NameList>
          <b:Person>
            <b:Last>G. JONKERS</b:Last>
            <b:First>F.A.</b:First>
            <b:Middle>HARTOG, W.A.I. KNAEPEN, P.F.J. LANCEE</b:Middle>
          </b:Person>
        </b:NameList>
      </b:Author>
    </b:Author>
    <b:Title>Characterization of NORM in the oil and gas production (E&amp;P) industry</b:Title>
    <b:Comments>Proceedings of the International Symposium on Radiological Problems with Natural Radioactivity in the Non-Nuclear Industry</b:Comments>
    <b:Year>1997</b:Year>
    <b:City>Amsterdam</b:City>
    <b:Pages>23–47 </b:Pages>
    <b:RefOrder>11</b:RefOrder>
  </b:Source>
  <b:Source>
    <b:Tag>EME09</b:Tag>
    <b:SourceType>Book</b:SourceType>
    <b:Guid>{9EB9E782-4091-46E8-8A70-E4EFFA747AD8}</b:Guid>
    <b:Author>
      <b:Author>
        <b:NameList>
          <b:Person>
            <b:Last>E.M. EL AFIFI</b:Last>
            <b:First>N.S.</b:First>
            <b:Middle>AWWAD, M.A. HILAL</b:Middle>
          </b:Person>
        </b:NameList>
      </b:Author>
    </b:Author>
    <b:Title>Sequential chemical treatment of radium species in TENORM waste sludge produced from oil and natural gas production</b:Title>
    <b:Year>2009</b:Year>
    <b:RefOrder>14</b:RefOrder>
  </b:Source>
  <b:Source>
    <b:Tag>ATE79</b:Tag>
    <b:SourceType>Book</b:SourceType>
    <b:Guid>{0A2DA30E-0507-428E-9D42-FA4AD3ACB33E}</b:Guid>
    <b:Author>
      <b:Author>
        <b:NameList>
          <b:Person>
            <b:Last>A.TESSIER</b:Last>
            <b:First>P.G.C.</b:First>
            <b:Middle>CAMPBELL, M. BISSON</b:Middle>
          </b:Person>
        </b:NameList>
      </b:Author>
    </b:Author>
    <b:Title>Sequential extraction procedure for the speciation of particulate trace metals</b:Title>
    <b:Year>1979</b:Year>
    <b:Comments>Anal. Chem. 51</b:Comments>
    <b:RefOrder>15</b:RefOrder>
  </b:Source>
  <b:Source>
    <b:Tag>Age99</b:Tag>
    <b:SourceType>Report</b:SourceType>
    <b:Guid>{73B88AA1-5005-4CF2-AD44-6BCC942DD25A}</b:Guid>
    <b:Author>
      <b:Author>
        <b:Corporate>Agence Internationale de l’Energie Atomique AIEA (d)</b:Corporate>
      </b:Author>
    </b:Author>
    <b:Title>The environmental behaviour of radium</b:Title>
    <b:Year>1999</b:Year>
    <b:Volume>Vol.1.</b:Volume>
    <b:StandardNumber> N° 310</b:StandardNumber>
    <b:ThesisType>Technical reports series </b:ThesisType>
    <b:RefOrder>13</b:RefOrder>
  </b:Source>
  <b:Source>
    <b:Tag>MBC81</b:Tag>
    <b:SourceType>Report</b:SourceType>
    <b:Guid>{01616760-2A41-403F-950A-093F3BA80C67}</b:Guid>
    <b:Author>
      <b:Author>
        <b:NameList>
          <b:Person>
            <b:Last>M.B. COOPER</b:Last>
            <b:First>K.A.</b:First>
            <b:Middle>STANNEY, G.A. WILLIAMS</b:Middle>
          </b:Person>
        </b:NameList>
      </b:Author>
    </b:Author>
    <b:Title>An Investigation of the Speciation of Radionuclides in Sediments and Soils</b:Title>
    <b:Year>1981</b:Year>
    <b:City>Melbourne</b:City>
    <b:Publisher>Australian Radiation Laboratory</b:Publisher>
    <b:Comments>Rep. ARL/TR-039</b:Comments>
    <b:RefOrder>16</b:RefOrder>
  </b:Source>
  <b:Source>
    <b:Tag>Uni64</b:Tag>
    <b:SourceType>Book</b:SourceType>
    <b:Guid>{61D30D19-3F09-4972-9F19-DAB2E3D9CD88}</b:Guid>
    <b:Author>
      <b:Author>
        <b:Corporate>United States Atomic Energy </b:Corporate>
      </b:Author>
    </b:Author>
    <b:Title>Comission Radiochemistry of radium</b:Title>
    <b:Year>1964</b:Year>
    <b:RefOrder>17</b:RefOrder>
  </b:Source>
  <b:Source>
    <b:Tag>AIT76</b:Tag>
    <b:SourceType>Report</b:SourceType>
    <b:Guid>{8F215C09-0F84-42BD-8117-F1173770A31A}</b:Guid>
    <b:Author>
      <b:Author>
        <b:NameList>
          <b:Person>
            <b:Last>A.I. TASKAEV</b:Last>
            <b:First>V.A.</b:First>
            <b:Middle>OVCHENKOV, R.M. ALEXAKHIN, SHUKTOMOVA</b:Middle>
          </b:Person>
        </b:NameList>
      </b:Author>
    </b:Author>
    <b:Title>Effect of pH and liquid phase cation composition on the extraction of Ra-226 from soils</b:Title>
    <b:Year>1976</b:Year>
    <b:StandardNumber>Pochvovedenie No. 12</b:StandardNumber>
    <b:Edition>Pochvovedenie No. 12 </b:Edition>
    <b:RefOrder>18</b:RefOrder>
  </b:Source>
  <b:Source>
    <b:Tag>SMK</b:Tag>
    <b:SourceType>Report</b:SourceType>
    <b:Guid>{0F25A368-4EB5-4D60-9145-26618596557E}</b:Guid>
    <b:Author>
      <b:Author>
        <b:NameList>
          <b:Person>
            <b:Last>S.M. KHALIFA</b:Last>
            <b:First>F.A.</b:First>
            <b:Middle>SHEHATA, El-S. EI-AFIFI, H.F ALY</b:Middle>
          </b:Person>
        </b:NameList>
      </b:Author>
    </b:Author>
    <b:Title>Fractionation and Leaching of Naturally Occurring Radioactive Waste Produced from Oil Production</b:Title>
    <b:Institution>Hot Laboratory Centre, Atomic Energy Authority</b:Institution>
    <b:ThesisType>journal</b:ThesisType>
    <b:Comments>International Conference on Hazardous Waste: Sources, Effects and Management </b:Comments>
    <b:Year>1998</b:Year>
    <b:RefOrder>19</b:RefOrder>
  </b:Source>
  <b:Source>
    <b:Tag>ADR77</b:Tag>
    <b:SourceType>Report</b:SourceType>
    <b:Guid>{D22D0514-CB78-4CEE-B503-E5397BFA435F}</b:Guid>
    <b:Author>
      <b:Author>
        <b:NameList>
          <b:Person>
            <b:Last>A. D. RYON</b:Last>
            <b:First>F.</b:First>
            <b:Middle>J. HURST, F.G. SEELEY</b:Middle>
          </b:Person>
        </b:NameList>
      </b:Author>
    </b:Author>
    <b:Title>Nitric Acid Leaching of Radium and Other Significant Radionuclides from Uranium Ores and Tailings</b:Title>
    <b:Year>1977</b:Year>
    <b:Publisher> ; OAK Ridge National Laboratory, Union Carbide Corporation for the Energy Research And Development Administration</b:Publisher>
    <b:RefOrder>20</b:RefOrder>
  </b:Source>
  <b:Source>
    <b:Tag>ANE13</b:Tag>
    <b:SourceType>Report</b:SourceType>
    <b:Guid>{CEB204DE-E8BE-4465-85D2-567BB382860C}</b:Guid>
    <b:Author>
      <b:Author>
        <b:NameList>
          <b:Person>
            <b:Last>A. NECHAF</b:Last>
            <b:First>H.</b:First>
            <b:Middle>HASNAOUI, M. LEKEDDOUR</b:Middle>
          </b:Person>
        </b:NameList>
      </b:Author>
    </b:Author>
    <b:Title>Mesures de débits de dose</b:Title>
    <b:Year>2013</b:Year>
    <b:ThesisType>Rapport de mission CRNA</b:ThesisType>
    <b:RefOrder>21</b:RefOrder>
  </b:Source>
  <b:Source>
    <b:Tag>PBE01</b:Tag>
    <b:SourceType>Report</b:SourceType>
    <b:Guid>{263030F0-478C-45D5-A454-E5E25CC7A397}</b:Guid>
    <b:Author>
      <b:Author>
        <b:NameList>
          <b:Person>
            <b:Last>P. BERARD</b:Last>
            <b:First>M.L.</b:First>
            <b:Middle>PERRIN, E. GAILLARD-LECANU, V. CHAMBRETTE, J. BRENOT, D. ROBEAU</b:Middle>
          </b:Person>
        </b:NameList>
      </b:Author>
    </b:Author>
    <b:Title>Ra-226 et ses descendants à l’équilibre</b:Title>
    <b:Year>2001</b:Year>
    <b:ThesisType>Fiche Radionucléide Radium 226</b:ThesisType>
    <b:RefOrder>25</b:RefOrder>
  </b:Source>
  <b:Source>
    <b:Tag>Ins14</b:Tag>
    <b:SourceType>Report</b:SourceType>
    <b:Guid>{EA5C6990-C60F-499B-A8A0-7B12186434C4}</b:Guid>
    <b:Author>
      <b:Author>
        <b:Corporate>Institut de Radioprotection et de Sécurité Nucléaire</b:Corporate>
      </b:Author>
    </b:Author>
    <b:Title>Radioprotection : radionucléides Radium-226</b:Title>
    <b:Year>2014</b:Year>
    <b:RefOrder>26</b:RefOrder>
  </b:Source>
  <b:Source>
    <b:Tag>col97</b:Tag>
    <b:SourceType>Report</b:SourceType>
    <b:Guid>{08570A53-1CC3-4EB5-839E-023E23246B07}</b:Guid>
    <b:Author>
      <b:Author>
        <b:NameList>
          <b:Person>
            <b:Last>JONKERS</b:Last>
            <b:First>G.</b:First>
          </b:Person>
        </b:NameList>
      </b:Author>
    </b:Author>
    <b:Title>Characterisation of NORM in oil and gas production (E&amp;P) industry.</b:Title>
    <b:Year>1997</b:Year>
    <b:City>Amsterdam</b:City>
    <b:Comments>Proceedings of the NORM I</b:Comments>
    <b:RefOrder>24</b:RefOrder>
  </b:Source>
  <b:Source>
    <b:Tag>BHo98</b:Tag>
    <b:SourceType>Report</b:SourceType>
    <b:Guid>{253D7E42-72B8-4415-A077-8ED94EBEFE53}</b:Guid>
    <b:Author>
      <b:Author>
        <b:NameList>
          <b:Person>
            <b:Last>HOLLAND</b:Last>
            <b:First>B.</b:First>
          </b:Person>
        </b:NameList>
      </b:Author>
    </b:Author>
    <b:Year>1998</b:Year>
    <b:Title>Experience with operations involving NORM in the United Kingdom (UK) and some other regions.</b:Title>
    <b:ThesisType>Report of the RCA Expert Advisory Group Meeting to review and develop radiation protection guidance for naturally occurring radioactive materials in the oil and gas and other mineral extraction and processing industries.</b:ThesisType>
    <b:Institution>Australian Nuclear Science and Technology Organisation, Lucas heights</b:Institution>
    <b:City>Sydney</b:City>
    <b:RefOrder>23</b:RefOrder>
  </b:Source>
  <b:Source>
    <b:Tag>MSH01</b:Tag>
    <b:SourceType>JournalArticle</b:SourceType>
    <b:Guid>{9027D283-42A5-4CC7-A4B7-22F617E47E64}</b:Guid>
    <b:Author>
      <b:Author>
        <b:NameList>
          <b:Person>
            <b:Last>M.S. HAMLAT</b:Last>
            <b:First>S.</b:First>
            <b:Middle>DJEFFAL, H. KADIB</b:Middle>
          </b:Person>
        </b:NameList>
      </b:Author>
    </b:Author>
    <b:Title>Assessment of radiation exposures from naturally occurring radioactive materials in the oil and gas industry</b:Title>
    <b:Year>2001</b:Year>
    <b:RefOrder>22</b:RefOrder>
  </b:Source>
</b:Sources>
</file>

<file path=customXml/itemProps1.xml><?xml version="1.0" encoding="utf-8"?>
<ds:datastoreItem xmlns:ds="http://schemas.openxmlformats.org/officeDocument/2006/customXml" ds:itemID="{4F223425-6CF5-4C02-BC1B-7C0CC356DF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432</Words>
  <Characters>2467</Characters>
  <Application>Microsoft Office Word</Application>
  <DocSecurity>0</DocSecurity>
  <Lines>20</Lines>
  <Paragraphs>5</Paragraphs>
  <ScaleCrop>false</ScaleCrop>
  <HeadingPairs>
    <vt:vector size="6" baseType="variant">
      <vt:variant>
        <vt:lpstr>Title</vt:lpstr>
      </vt:variant>
      <vt:variant>
        <vt:i4>1</vt:i4>
      </vt:variant>
      <vt:variant>
        <vt:lpstr>Titre</vt:lpstr>
      </vt:variant>
      <vt:variant>
        <vt:i4>1</vt:i4>
      </vt:variant>
      <vt:variant>
        <vt:lpstr>Titres</vt:lpstr>
      </vt:variant>
      <vt:variant>
        <vt:i4>30</vt:i4>
      </vt:variant>
    </vt:vector>
  </HeadingPairs>
  <TitlesOfParts>
    <vt:vector size="32" baseType="lpstr">
      <vt:lpstr/>
      <vt:lpstr/>
      <vt:lpstr>Introduction </vt:lpstr>
      <vt:lpstr>I. Synthèse bibliographique </vt:lpstr>
      <vt:lpstr>    I.1 Radioactivité naturelle renforcée et ses risques sanitaires </vt:lpstr>
      <vt:lpstr>II. Matériels et méthodes </vt:lpstr>
      <vt:lpstr>    II.1 Préparation des échantillons NORM du champ pétrolier</vt:lpstr>
      <vt:lpstr>        II.1.1 Echantillonnage et séchage des échantillons NORM</vt:lpstr>
      <vt:lpstr>        II.1.2. Broyage et homogénéisation des échantillons NORM</vt:lpstr>
      <vt:lpstr>    II.2. Mesures radiométriques par spectrométrie gamma</vt:lpstr>
      <vt:lpstr>    II.3. Traitement chimique des NORM</vt:lpstr>
      <vt:lpstr>        II.3.1. Traitement séquentiel des NORM </vt:lpstr>
      <vt:lpstr>        II.3.2. Description de la  lixiviation acide </vt:lpstr>
      <vt:lpstr>III. Résultats et discussion</vt:lpstr>
      <vt:lpstr>    III.1. Caractérisation chimique et radiologique des NORM</vt:lpstr>
      <vt:lpstr>        III.1.1. Caractérisation chimique des NORM</vt:lpstr>
      <vt:lpstr>        III.1.2. Répartition granulométrique des NORM </vt:lpstr>
      <vt:lpstr>        III.1.3. Distribution de l’activité du radium dans les installations du champs p</vt:lpstr>
      <vt:lpstr>    III.2. Taux de lixiviation du traitement séquentiel </vt:lpstr>
      <vt:lpstr>    III.3. Optimisation des paramètres de lixiviation </vt:lpstr>
      <vt:lpstr>        III.3.1. Type d’acide et nombre de lavage successifs  </vt:lpstr>
      <vt:lpstr>        III.3.2. Concentration de l’acide</vt:lpstr>
      <vt:lpstr>        III.3.3. Rapport solide/liquide</vt:lpstr>
      <vt:lpstr>        III.3.4. Temps de contact </vt:lpstr>
      <vt:lpstr>    III.4. Paramètres optimaux et taux de lixiviation acide</vt:lpstr>
      <vt:lpstr>    III.5. Impact radiologique des NORM </vt:lpstr>
      <vt:lpstr>    III.5.1. Débits de dose autour des installations d’un champ pétrolier</vt:lpstr>
      <vt:lpstr>        III.5.1.1. Relevés radiologiques </vt:lpstr>
      <vt:lpstr>        III.5.1.2. Estimation de la dose reçue durant les opérations de décontamination</vt:lpstr>
      <vt:lpstr>    III.5.2. Simulation d’une contamination interne</vt:lpstr>
      <vt:lpstr>Conclusion générale </vt:lpstr>
      <vt:lpstr>&lt;Bibliographie</vt:lpstr>
    </vt:vector>
  </TitlesOfParts>
  <Company/>
  <LinksUpToDate>false</LinksUpToDate>
  <CharactersWithSpaces>2894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Naima AIT KACI</dc:creator>
  <cp:lastModifiedBy>traitement</cp:lastModifiedBy>
  <cp:revision>3</cp:revision>
  <dcterms:created xsi:type="dcterms:W3CDTF">2017-01-31T09:36:00Z</dcterms:created>
  <dcterms:modified xsi:type="dcterms:W3CDTF">2017-01-31T09:36:00Z</dcterms:modified>
</cp:coreProperties>
</file>