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4E5" w:rsidRPr="003A24E5" w:rsidRDefault="003A24E5" w:rsidP="003A24E5">
      <w:pPr>
        <w:bidi w:val="0"/>
        <w:rPr>
          <w:lang w:val="fr-FR" w:bidi="ar-DZ"/>
        </w:rPr>
      </w:pPr>
      <w:r w:rsidRPr="003A24E5">
        <w:rPr>
          <w:lang w:val="fr-FR" w:bidi="ar-DZ"/>
        </w:rPr>
        <w:t>Le présent travail a été entrepris dans le but, d'une part, d'étudier l'évolution de la microstructure et de la texture en multi</w:t>
      </w:r>
    </w:p>
    <w:p w:rsidR="003A24E5" w:rsidRPr="003A24E5" w:rsidRDefault="003A24E5" w:rsidP="003A24E5">
      <w:pPr>
        <w:bidi w:val="0"/>
        <w:rPr>
          <w:lang w:val="fr-FR" w:bidi="ar-DZ"/>
        </w:rPr>
      </w:pPr>
      <w:r w:rsidRPr="003A24E5">
        <w:rPr>
          <w:lang w:val="fr-FR" w:bidi="ar-DZ"/>
        </w:rPr>
        <w:t xml:space="preserve"> échelle (micro, méso et macro) a été menée en utilisant les électrons rétrodiffusés (EBSD) et la diffraction des Neutrons</w:t>
      </w:r>
    </w:p>
    <w:p w:rsidR="003A24E5" w:rsidRPr="003A24E5" w:rsidRDefault="003A24E5" w:rsidP="003A24E5">
      <w:pPr>
        <w:bidi w:val="0"/>
        <w:rPr>
          <w:lang w:val="fr-FR" w:bidi="ar-DZ"/>
        </w:rPr>
      </w:pPr>
      <w:r w:rsidRPr="003A24E5">
        <w:rPr>
          <w:lang w:val="fr-FR" w:bidi="ar-DZ"/>
        </w:rPr>
        <w:t xml:space="preserve"> de l'alliage industriel Cu-2.5%Ni-0.6%Si (% en poids). D'autre part, l'analyse des profils de raies de diffraction des rayons X</w:t>
      </w:r>
    </w:p>
    <w:p w:rsidR="003A24E5" w:rsidRPr="003A24E5" w:rsidRDefault="003A24E5" w:rsidP="003A24E5">
      <w:pPr>
        <w:bidi w:val="0"/>
        <w:rPr>
          <w:lang w:val="fr-FR" w:bidi="ar-DZ"/>
        </w:rPr>
      </w:pPr>
      <w:r w:rsidRPr="003A24E5">
        <w:rPr>
          <w:lang w:val="fr-FR" w:bidi="ar-DZ"/>
        </w:rPr>
        <w:t xml:space="preserve"> (XRDLPA) nous a permis d'estimer les tailles des domaines cohérents de diffraction et leur distribution ainsi que les</w:t>
      </w:r>
    </w:p>
    <w:p w:rsidR="003A24E5" w:rsidRPr="003A24E5" w:rsidRDefault="003A24E5" w:rsidP="003A24E5">
      <w:pPr>
        <w:bidi w:val="0"/>
        <w:rPr>
          <w:lang w:val="fr-FR" w:bidi="ar-DZ"/>
        </w:rPr>
      </w:pPr>
      <w:r w:rsidRPr="003A24E5">
        <w:rPr>
          <w:lang w:val="fr-FR" w:bidi="ar-DZ"/>
        </w:rPr>
        <w:t xml:space="preserve"> densités de dislocations  et des défauts d'empilement. Enfin les paramètres microstructuraux sont reliés à la stabilité</w:t>
      </w:r>
    </w:p>
    <w:p w:rsidR="008865C4" w:rsidRPr="003A24E5" w:rsidRDefault="003A24E5" w:rsidP="003A24E5">
      <w:pPr>
        <w:bidi w:val="0"/>
        <w:rPr>
          <w:rFonts w:hint="cs"/>
          <w:lang w:val="fr-FR" w:bidi="ar-DZ"/>
        </w:rPr>
      </w:pPr>
      <w:r w:rsidRPr="003A24E5">
        <w:rPr>
          <w:lang w:val="fr-FR" w:bidi="ar-DZ"/>
        </w:rPr>
        <w:t xml:space="preserve"> thermique en utilisant la technique d'Analyse Enthalpique Différentielle (DSC).</w:t>
      </w:r>
    </w:p>
    <w:sectPr w:rsidR="008865C4" w:rsidRPr="003A24E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3A24E5"/>
    <w:rsid w:val="003A24E5"/>
    <w:rsid w:val="005F47AF"/>
    <w:rsid w:val="00886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5C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598</Characters>
  <Application>Microsoft Office Word</Application>
  <DocSecurity>0</DocSecurity>
  <Lines>4</Lines>
  <Paragraphs>1</Paragraphs>
  <ScaleCrop>false</ScaleCrop>
  <Company/>
  <LinksUpToDate>false</LinksUpToDate>
  <CharactersWithSpaces>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2015-11-17T07:59:00Z</dcterms:created>
  <dcterms:modified xsi:type="dcterms:W3CDTF">2015-11-17T08:00:00Z</dcterms:modified>
</cp:coreProperties>
</file>