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3D55" w:rsidRPr="00C653FF" w:rsidRDefault="00853D55" w:rsidP="00853D55">
      <w:pPr>
        <w:autoSpaceDE w:val="0"/>
        <w:autoSpaceDN w:val="0"/>
        <w:adjustRightInd w:val="0"/>
        <w:jc w:val="center"/>
        <w:rPr>
          <w:b/>
          <w:bCs/>
          <w:sz w:val="22"/>
          <w:szCs w:val="22"/>
        </w:rPr>
      </w:pPr>
      <w:r w:rsidRPr="00C653FF">
        <w:rPr>
          <w:b/>
          <w:bCs/>
          <w:sz w:val="22"/>
          <w:szCs w:val="22"/>
        </w:rPr>
        <w:t>Résumé</w:t>
      </w:r>
    </w:p>
    <w:p w:rsidR="00853D55" w:rsidRPr="00C653FF" w:rsidRDefault="00853D55" w:rsidP="00853D55">
      <w:pPr>
        <w:autoSpaceDE w:val="0"/>
        <w:autoSpaceDN w:val="0"/>
        <w:adjustRightInd w:val="0"/>
        <w:jc w:val="center"/>
        <w:rPr>
          <w:b/>
          <w:bCs/>
          <w:sz w:val="22"/>
          <w:szCs w:val="22"/>
        </w:rPr>
      </w:pPr>
    </w:p>
    <w:p w:rsidR="00853D55" w:rsidRPr="00C653FF" w:rsidRDefault="00853D55" w:rsidP="00853D55">
      <w:pPr>
        <w:ind w:firstLine="709"/>
        <w:jc w:val="both"/>
        <w:rPr>
          <w:sz w:val="22"/>
          <w:szCs w:val="22"/>
        </w:rPr>
      </w:pPr>
      <w:r w:rsidRPr="00C653FF">
        <w:rPr>
          <w:sz w:val="22"/>
          <w:szCs w:val="22"/>
        </w:rPr>
        <w:t xml:space="preserve">La protéine MVDP (Mouse vas </w:t>
      </w:r>
      <w:proofErr w:type="spellStart"/>
      <w:r w:rsidRPr="00C653FF">
        <w:rPr>
          <w:sz w:val="22"/>
          <w:szCs w:val="22"/>
        </w:rPr>
        <w:t>deferens</w:t>
      </w:r>
      <w:proofErr w:type="spellEnd"/>
      <w:r w:rsidRPr="00C653FF">
        <w:rPr>
          <w:sz w:val="22"/>
          <w:szCs w:val="22"/>
        </w:rPr>
        <w:t xml:space="preserve"> </w:t>
      </w:r>
      <w:proofErr w:type="spellStart"/>
      <w:r w:rsidRPr="00C653FF">
        <w:rPr>
          <w:sz w:val="22"/>
          <w:szCs w:val="22"/>
        </w:rPr>
        <w:t>protein</w:t>
      </w:r>
      <w:proofErr w:type="spellEnd"/>
      <w:r w:rsidRPr="00C653FF">
        <w:rPr>
          <w:sz w:val="22"/>
          <w:szCs w:val="22"/>
        </w:rPr>
        <w:t>) /Aldose-</w:t>
      </w:r>
      <w:proofErr w:type="spellStart"/>
      <w:r w:rsidRPr="00C653FF">
        <w:rPr>
          <w:sz w:val="22"/>
          <w:szCs w:val="22"/>
        </w:rPr>
        <w:t>Keto</w:t>
      </w:r>
      <w:proofErr w:type="spellEnd"/>
      <w:r w:rsidRPr="00C653FF">
        <w:rPr>
          <w:sz w:val="22"/>
          <w:szCs w:val="22"/>
        </w:rPr>
        <w:t>-</w:t>
      </w:r>
      <w:proofErr w:type="spellStart"/>
      <w:r w:rsidRPr="00C653FF">
        <w:rPr>
          <w:sz w:val="22"/>
          <w:szCs w:val="22"/>
        </w:rPr>
        <w:t>Reductase</w:t>
      </w:r>
      <w:proofErr w:type="spellEnd"/>
      <w:r w:rsidRPr="00C653FF">
        <w:rPr>
          <w:sz w:val="22"/>
          <w:szCs w:val="22"/>
        </w:rPr>
        <w:t xml:space="preserve"> (AKR1B7) de poids moléculaire 34,5 </w:t>
      </w:r>
      <w:proofErr w:type="spellStart"/>
      <w:r w:rsidRPr="00C653FF">
        <w:rPr>
          <w:sz w:val="22"/>
          <w:szCs w:val="22"/>
        </w:rPr>
        <w:t>kDa</w:t>
      </w:r>
      <w:proofErr w:type="spellEnd"/>
      <w:r w:rsidRPr="00C653FF">
        <w:rPr>
          <w:sz w:val="22"/>
          <w:szCs w:val="22"/>
        </w:rPr>
        <w:t xml:space="preserve">, a été initialement identifiée pour son </w:t>
      </w:r>
      <w:proofErr w:type="spellStart"/>
      <w:r w:rsidRPr="00C653FF">
        <w:rPr>
          <w:sz w:val="22"/>
          <w:szCs w:val="22"/>
        </w:rPr>
        <w:t>androgéno</w:t>
      </w:r>
      <w:proofErr w:type="spellEnd"/>
      <w:r w:rsidRPr="00C653FF">
        <w:rPr>
          <w:sz w:val="22"/>
          <w:szCs w:val="22"/>
        </w:rPr>
        <w:t>-dépendance, dans le canal déférent de souris. Le deuxième site majeur d’expression d’AKR1B7, identifié plus tardivement, est la surrénale. La fonction de cette protéine dans le canal déférent reste, à ce jour, inconnue. Néanmoins, dans les glandes surrénales cette protéine permet d’assurer au moins deux fonctions, i) détoxication de l’</w:t>
      </w:r>
      <w:proofErr w:type="spellStart"/>
      <w:r w:rsidRPr="00C653FF">
        <w:rPr>
          <w:sz w:val="22"/>
          <w:szCs w:val="22"/>
        </w:rPr>
        <w:t>isocaproaldéhyde</w:t>
      </w:r>
      <w:proofErr w:type="spellEnd"/>
      <w:r w:rsidRPr="00C653FF">
        <w:rPr>
          <w:sz w:val="22"/>
          <w:szCs w:val="22"/>
        </w:rPr>
        <w:t xml:space="preserve"> produit lors de la première étape de la </w:t>
      </w:r>
      <w:proofErr w:type="spellStart"/>
      <w:r w:rsidRPr="00C653FF">
        <w:rPr>
          <w:sz w:val="22"/>
          <w:szCs w:val="22"/>
        </w:rPr>
        <w:t>stéroidogénèse</w:t>
      </w:r>
      <w:proofErr w:type="spellEnd"/>
      <w:r w:rsidRPr="00C653FF">
        <w:rPr>
          <w:sz w:val="22"/>
          <w:szCs w:val="22"/>
        </w:rPr>
        <w:t xml:space="preserve">, ii) et limitation de la réponse au stress. La conservation de l’expression de la protéine AKR1B7 au niveau des </w:t>
      </w:r>
      <w:proofErr w:type="gramStart"/>
      <w:r w:rsidRPr="00C653FF">
        <w:rPr>
          <w:sz w:val="22"/>
          <w:szCs w:val="22"/>
        </w:rPr>
        <w:t>surrénales</w:t>
      </w:r>
      <w:proofErr w:type="gramEnd"/>
      <w:r w:rsidRPr="00C653FF">
        <w:rPr>
          <w:sz w:val="22"/>
          <w:szCs w:val="22"/>
        </w:rPr>
        <w:t xml:space="preserve"> est montrée chez plusieurs espèces, cependant son expression au niveau du canal déférent reste, à ce jour, spécifique à la souris. Nous avons voulu explorer l’expression possible de cette protéine au niveau du canal déférent et de la glande surrénale chez deux espèces sahariennes, le mérion (</w:t>
      </w:r>
      <w:proofErr w:type="spellStart"/>
      <w:r w:rsidRPr="00C653FF">
        <w:rPr>
          <w:i/>
          <w:iCs/>
          <w:sz w:val="22"/>
          <w:szCs w:val="22"/>
        </w:rPr>
        <w:t>Meriones</w:t>
      </w:r>
      <w:proofErr w:type="spellEnd"/>
      <w:r w:rsidRPr="00C653FF">
        <w:rPr>
          <w:i/>
          <w:iCs/>
          <w:sz w:val="22"/>
          <w:szCs w:val="22"/>
        </w:rPr>
        <w:t xml:space="preserve"> </w:t>
      </w:r>
      <w:proofErr w:type="spellStart"/>
      <w:r w:rsidRPr="00C653FF">
        <w:rPr>
          <w:i/>
          <w:iCs/>
          <w:sz w:val="22"/>
          <w:szCs w:val="22"/>
        </w:rPr>
        <w:t>libycus</w:t>
      </w:r>
      <w:proofErr w:type="spellEnd"/>
      <w:r w:rsidRPr="00C653FF">
        <w:rPr>
          <w:sz w:val="22"/>
          <w:szCs w:val="22"/>
        </w:rPr>
        <w:t>) et la gerbille (</w:t>
      </w:r>
      <w:proofErr w:type="spellStart"/>
      <w:r w:rsidRPr="00C653FF">
        <w:rPr>
          <w:i/>
          <w:iCs/>
          <w:sz w:val="22"/>
          <w:szCs w:val="22"/>
        </w:rPr>
        <w:t>Gerbillus</w:t>
      </w:r>
      <w:proofErr w:type="spellEnd"/>
      <w:r w:rsidRPr="00C653FF">
        <w:rPr>
          <w:i/>
          <w:iCs/>
          <w:sz w:val="22"/>
          <w:szCs w:val="22"/>
        </w:rPr>
        <w:t xml:space="preserve"> </w:t>
      </w:r>
      <w:proofErr w:type="spellStart"/>
      <w:r w:rsidRPr="00C653FF">
        <w:rPr>
          <w:i/>
          <w:iCs/>
          <w:sz w:val="22"/>
          <w:szCs w:val="22"/>
        </w:rPr>
        <w:t>gerbillus</w:t>
      </w:r>
      <w:proofErr w:type="spellEnd"/>
      <w:r w:rsidRPr="00C653FF">
        <w:rPr>
          <w:sz w:val="22"/>
          <w:szCs w:val="22"/>
        </w:rPr>
        <w:t>).</w:t>
      </w:r>
    </w:p>
    <w:p w:rsidR="00853D55" w:rsidRPr="00C653FF" w:rsidRDefault="00853D55" w:rsidP="00853D55">
      <w:pPr>
        <w:ind w:firstLine="709"/>
        <w:jc w:val="both"/>
        <w:rPr>
          <w:sz w:val="22"/>
          <w:szCs w:val="22"/>
        </w:rPr>
      </w:pPr>
      <w:r w:rsidRPr="00C653FF">
        <w:rPr>
          <w:sz w:val="22"/>
          <w:szCs w:val="22"/>
        </w:rPr>
        <w:t>Le Western blot et l’</w:t>
      </w:r>
      <w:proofErr w:type="spellStart"/>
      <w:r w:rsidRPr="00C653FF">
        <w:rPr>
          <w:sz w:val="22"/>
          <w:szCs w:val="22"/>
        </w:rPr>
        <w:t>immunohistochimie</w:t>
      </w:r>
      <w:proofErr w:type="spellEnd"/>
      <w:r w:rsidRPr="00C653FF">
        <w:rPr>
          <w:sz w:val="22"/>
          <w:szCs w:val="22"/>
        </w:rPr>
        <w:t xml:space="preserve">, ont montré des niveaux élevés d’une protéine apparentée à l’AKR1B7 murine dans les glandes surrénales et non dans les canaux déférents des deux espèces. Les deux </w:t>
      </w:r>
      <w:proofErr w:type="spellStart"/>
      <w:r w:rsidRPr="00C653FF">
        <w:rPr>
          <w:sz w:val="22"/>
          <w:szCs w:val="22"/>
        </w:rPr>
        <w:t>ADNc</w:t>
      </w:r>
      <w:proofErr w:type="spellEnd"/>
      <w:r w:rsidRPr="00C653FF">
        <w:rPr>
          <w:sz w:val="22"/>
          <w:szCs w:val="22"/>
        </w:rPr>
        <w:t xml:space="preserve"> d’AKR1B7 du mérion et de la gerbille contiennent un cadre de lecture ouvert de 948 </w:t>
      </w:r>
      <w:proofErr w:type="spellStart"/>
      <w:r w:rsidRPr="00C653FF">
        <w:rPr>
          <w:sz w:val="22"/>
          <w:szCs w:val="22"/>
        </w:rPr>
        <w:t>pb</w:t>
      </w:r>
      <w:proofErr w:type="spellEnd"/>
      <w:r w:rsidRPr="00C653FF">
        <w:rPr>
          <w:sz w:val="22"/>
          <w:szCs w:val="22"/>
        </w:rPr>
        <w:t xml:space="preserve"> codant pour une protéine de 316 acides aminés qui est une caractéristique de nombreux membres de la famille Aldo-</w:t>
      </w:r>
      <w:proofErr w:type="spellStart"/>
      <w:r w:rsidRPr="00C653FF">
        <w:rPr>
          <w:sz w:val="22"/>
          <w:szCs w:val="22"/>
        </w:rPr>
        <w:t>Kéto</w:t>
      </w:r>
      <w:proofErr w:type="spellEnd"/>
      <w:r w:rsidRPr="00C653FF">
        <w:rPr>
          <w:sz w:val="22"/>
          <w:szCs w:val="22"/>
        </w:rPr>
        <w:t xml:space="preserve">-réductase  (AKR). A travers les membres de la sous-famille AKR1B, les pourcentages d’identité des séquences ont indiqué clairement que meAKR1B7 et gAKR1B7 partagent plus d’identité avec l’AKR1B7 de la souris et du rat (86-94%). En outre, l’arbre phylogénétique a indiqué que les quatre AKR1B7 identifiées à ce jour (souris, rat, mérion et gerbille) sont apparues à partir d’un même nœud dans l’évolution. Bien que les manipulations hormonales de l’axe </w:t>
      </w:r>
      <w:proofErr w:type="spellStart"/>
      <w:r w:rsidRPr="00C653FF">
        <w:rPr>
          <w:sz w:val="22"/>
          <w:szCs w:val="22"/>
        </w:rPr>
        <w:t>hypothalamo</w:t>
      </w:r>
      <w:proofErr w:type="spellEnd"/>
      <w:r w:rsidRPr="00C653FF">
        <w:rPr>
          <w:sz w:val="22"/>
          <w:szCs w:val="22"/>
        </w:rPr>
        <w:t>-</w:t>
      </w:r>
      <w:proofErr w:type="spellStart"/>
      <w:r w:rsidRPr="00C653FF">
        <w:rPr>
          <w:sz w:val="22"/>
          <w:szCs w:val="22"/>
        </w:rPr>
        <w:t>hypophyso</w:t>
      </w:r>
      <w:proofErr w:type="spellEnd"/>
      <w:r w:rsidRPr="00C653FF">
        <w:rPr>
          <w:sz w:val="22"/>
          <w:szCs w:val="22"/>
        </w:rPr>
        <w:t xml:space="preserve">-surrénalien n’ont  pu être réalisées chez la gerbille, il est clairement démontré dans les glandes surrénales du mérion, que le gène meAKR1B7 est sous la régulation de l’ACTH : i) la protéine meAKR1B7 a été </w:t>
      </w:r>
      <w:proofErr w:type="spellStart"/>
      <w:r w:rsidRPr="00C653FF">
        <w:rPr>
          <w:sz w:val="22"/>
          <w:szCs w:val="22"/>
        </w:rPr>
        <w:t>immunolocalisée</w:t>
      </w:r>
      <w:proofErr w:type="spellEnd"/>
      <w:r w:rsidRPr="00C653FF">
        <w:rPr>
          <w:sz w:val="22"/>
          <w:szCs w:val="22"/>
        </w:rPr>
        <w:t xml:space="preserve"> dans la zone ACTH-dépendante (fasciculée/ réticulée) alors  qu’elle est restée indétectable dans la zone </w:t>
      </w:r>
      <w:proofErr w:type="spellStart"/>
      <w:r w:rsidRPr="00C653FF">
        <w:rPr>
          <w:sz w:val="22"/>
          <w:szCs w:val="22"/>
        </w:rPr>
        <w:t>glomérulée</w:t>
      </w:r>
      <w:proofErr w:type="spellEnd"/>
      <w:r w:rsidRPr="00C653FF">
        <w:rPr>
          <w:sz w:val="22"/>
          <w:szCs w:val="22"/>
        </w:rPr>
        <w:t xml:space="preserve"> et dans la </w:t>
      </w:r>
      <w:proofErr w:type="spellStart"/>
      <w:r w:rsidRPr="00C653FF">
        <w:rPr>
          <w:sz w:val="22"/>
          <w:szCs w:val="22"/>
        </w:rPr>
        <w:t>médulla</w:t>
      </w:r>
      <w:proofErr w:type="spellEnd"/>
      <w:r w:rsidRPr="00C653FF">
        <w:rPr>
          <w:sz w:val="22"/>
          <w:szCs w:val="22"/>
        </w:rPr>
        <w:t xml:space="preserve">, ii) l’appauvrissement de l’ACTH par la </w:t>
      </w:r>
      <w:proofErr w:type="spellStart"/>
      <w:r w:rsidRPr="00C653FF">
        <w:rPr>
          <w:sz w:val="22"/>
          <w:szCs w:val="22"/>
        </w:rPr>
        <w:t>dexaméthasone</w:t>
      </w:r>
      <w:proofErr w:type="spellEnd"/>
      <w:r w:rsidRPr="00C653FF">
        <w:rPr>
          <w:sz w:val="22"/>
          <w:szCs w:val="22"/>
        </w:rPr>
        <w:t>, induit  une forte diminution de l’accumulation de l’</w:t>
      </w:r>
      <w:proofErr w:type="spellStart"/>
      <w:r w:rsidRPr="00C653FF">
        <w:rPr>
          <w:sz w:val="22"/>
          <w:szCs w:val="22"/>
        </w:rPr>
        <w:t>ARNm</w:t>
      </w:r>
      <w:proofErr w:type="spellEnd"/>
      <w:r w:rsidRPr="00C653FF">
        <w:rPr>
          <w:sz w:val="22"/>
          <w:szCs w:val="22"/>
        </w:rPr>
        <w:t xml:space="preserve"> qui peut être entièrement restaurée par des injections d’ACTH. Ces données ont été confirmées au niveau de la protéine, bien qu’elle semble moins sensible par rapport à son </w:t>
      </w:r>
      <w:proofErr w:type="spellStart"/>
      <w:r w:rsidRPr="00C653FF">
        <w:rPr>
          <w:sz w:val="22"/>
          <w:szCs w:val="22"/>
        </w:rPr>
        <w:t>ARNm</w:t>
      </w:r>
      <w:proofErr w:type="spellEnd"/>
      <w:r w:rsidRPr="00C653FF">
        <w:rPr>
          <w:sz w:val="22"/>
          <w:szCs w:val="22"/>
        </w:rPr>
        <w:t xml:space="preserve"> correspondant. Ceci suggère  que les glandes surrénales des deux espèces expriment un gène </w:t>
      </w:r>
      <w:proofErr w:type="spellStart"/>
      <w:r w:rsidRPr="00C653FF">
        <w:rPr>
          <w:sz w:val="22"/>
          <w:szCs w:val="22"/>
        </w:rPr>
        <w:t>orthologue</w:t>
      </w:r>
      <w:proofErr w:type="spellEnd"/>
      <w:r w:rsidRPr="00C653FF">
        <w:rPr>
          <w:sz w:val="22"/>
          <w:szCs w:val="22"/>
        </w:rPr>
        <w:t xml:space="preserve"> au gène d’</w:t>
      </w:r>
      <w:r w:rsidRPr="00C653FF">
        <w:rPr>
          <w:i/>
          <w:iCs/>
          <w:sz w:val="22"/>
          <w:szCs w:val="22"/>
        </w:rPr>
        <w:t>AKR1B7</w:t>
      </w:r>
      <w:r w:rsidRPr="00C653FF">
        <w:rPr>
          <w:sz w:val="22"/>
          <w:szCs w:val="22"/>
        </w:rPr>
        <w:t xml:space="preserve"> murin et que cette protéine meAKR1B7 pourrait assurer des fonctions comparables en relation avec la production des glucocorticoïdes. </w:t>
      </w:r>
    </w:p>
    <w:p w:rsidR="00853D55" w:rsidRDefault="00853D55" w:rsidP="00853D55">
      <w:pPr>
        <w:ind w:firstLine="709"/>
        <w:jc w:val="both"/>
        <w:rPr>
          <w:color w:val="000000"/>
          <w:sz w:val="22"/>
          <w:szCs w:val="22"/>
          <w:shd w:val="clear" w:color="auto" w:fill="FFFFFF"/>
        </w:rPr>
      </w:pPr>
      <w:r w:rsidRPr="00C653FF">
        <w:rPr>
          <w:sz w:val="22"/>
          <w:szCs w:val="22"/>
        </w:rPr>
        <w:t xml:space="preserve">La glande thyroïde n’est pas une cible classique des androgènes. </w:t>
      </w:r>
      <w:r w:rsidRPr="00C653FF">
        <w:rPr>
          <w:rStyle w:val="longtext"/>
          <w:color w:val="000000"/>
          <w:sz w:val="22"/>
          <w:szCs w:val="22"/>
          <w:shd w:val="clear" w:color="auto" w:fill="FFFFFF"/>
        </w:rPr>
        <w:t xml:space="preserve">L’étude </w:t>
      </w:r>
      <w:proofErr w:type="spellStart"/>
      <w:r w:rsidRPr="00C653FF">
        <w:rPr>
          <w:rStyle w:val="longtext"/>
          <w:color w:val="000000"/>
          <w:sz w:val="22"/>
          <w:szCs w:val="22"/>
          <w:shd w:val="clear" w:color="auto" w:fill="FFFFFF"/>
        </w:rPr>
        <w:t>immunohistochimique</w:t>
      </w:r>
      <w:proofErr w:type="spellEnd"/>
      <w:r w:rsidRPr="00C653FF">
        <w:rPr>
          <w:rStyle w:val="longtext"/>
          <w:color w:val="000000"/>
          <w:sz w:val="22"/>
          <w:szCs w:val="22"/>
          <w:shd w:val="clear" w:color="auto" w:fill="FFFFFF"/>
        </w:rPr>
        <w:t xml:space="preserve"> du récepteur aux androgènes (RA) et de la testostérone révèle l’existence d’un marquage du récepteur aux androgènes dans les noyaux de l’ensemble des cellules folliculaires ; son ligand (la testostérone) présente un marquage au niveau du cytoplasme de ces cellules, au niveau </w:t>
      </w:r>
      <w:proofErr w:type="gramStart"/>
      <w:r w:rsidRPr="00C653FF">
        <w:rPr>
          <w:rStyle w:val="longtext"/>
          <w:color w:val="000000"/>
          <w:sz w:val="22"/>
          <w:szCs w:val="22"/>
          <w:shd w:val="clear" w:color="auto" w:fill="FFFFFF"/>
        </w:rPr>
        <w:t>de la</w:t>
      </w:r>
      <w:proofErr w:type="gramEnd"/>
      <w:r w:rsidRPr="00C653FF">
        <w:rPr>
          <w:rStyle w:val="longtext"/>
          <w:color w:val="000000"/>
          <w:sz w:val="22"/>
          <w:szCs w:val="22"/>
          <w:shd w:val="clear" w:color="auto" w:fill="FFFFFF"/>
        </w:rPr>
        <w:t xml:space="preserve"> colloïde et au niveau des capillaires sanguins autour des follicules thyroïdiens chez </w:t>
      </w:r>
      <w:proofErr w:type="spellStart"/>
      <w:r w:rsidRPr="00C653FF">
        <w:rPr>
          <w:rStyle w:val="longtext"/>
          <w:i/>
          <w:iCs/>
          <w:color w:val="000000"/>
          <w:sz w:val="22"/>
          <w:szCs w:val="22"/>
          <w:shd w:val="clear" w:color="auto" w:fill="FFFFFF"/>
        </w:rPr>
        <w:t>Meriones</w:t>
      </w:r>
      <w:proofErr w:type="spellEnd"/>
      <w:r w:rsidRPr="00C653FF">
        <w:rPr>
          <w:rStyle w:val="longtext"/>
          <w:i/>
          <w:iCs/>
          <w:color w:val="000000"/>
          <w:sz w:val="22"/>
          <w:szCs w:val="22"/>
          <w:shd w:val="clear" w:color="auto" w:fill="FFFFFF"/>
        </w:rPr>
        <w:t xml:space="preserve"> </w:t>
      </w:r>
      <w:proofErr w:type="spellStart"/>
      <w:r w:rsidRPr="00C653FF">
        <w:rPr>
          <w:rStyle w:val="longtext"/>
          <w:i/>
          <w:iCs/>
          <w:color w:val="000000"/>
          <w:sz w:val="22"/>
          <w:szCs w:val="22"/>
          <w:shd w:val="clear" w:color="auto" w:fill="FFFFFF"/>
        </w:rPr>
        <w:t>libycus</w:t>
      </w:r>
      <w:proofErr w:type="spellEnd"/>
      <w:r w:rsidRPr="00C653FF">
        <w:rPr>
          <w:rStyle w:val="longtext"/>
          <w:color w:val="000000"/>
          <w:sz w:val="22"/>
          <w:szCs w:val="22"/>
          <w:shd w:val="clear" w:color="auto" w:fill="FFFFFF"/>
        </w:rPr>
        <w:t xml:space="preserve">  adulte en saison de reproduction.</w:t>
      </w:r>
      <w:r w:rsidRPr="00C653FF">
        <w:rPr>
          <w:sz w:val="22"/>
          <w:szCs w:val="22"/>
        </w:rPr>
        <w:t xml:space="preserve"> La privation hormonale  en androgènes pendant 7 jours chez le mérion, induit un marquage hétérogène du RA, localisé dans les noyaux et dans le cytoplasme de quelques cellules folliculaires. Cependant le marquage de la testostérone reste faiblement variable. C</w:t>
      </w:r>
      <w:r w:rsidRPr="00C653FF">
        <w:rPr>
          <w:rStyle w:val="longtext"/>
          <w:color w:val="000000"/>
          <w:sz w:val="22"/>
          <w:szCs w:val="22"/>
          <w:shd w:val="clear" w:color="auto" w:fill="FFFFFF"/>
        </w:rPr>
        <w:t>eci laisse suggérer que la testostérone pourrait avoir un effet direct sur le fonctionnement de la glande thyroïde chez  cette espèce.</w:t>
      </w:r>
    </w:p>
    <w:p w:rsidR="00853D55" w:rsidRDefault="00853D55" w:rsidP="00853D55">
      <w:pPr>
        <w:ind w:firstLine="709"/>
        <w:jc w:val="both"/>
        <w:rPr>
          <w:color w:val="000000"/>
          <w:sz w:val="22"/>
          <w:szCs w:val="22"/>
          <w:shd w:val="clear" w:color="auto" w:fill="FFFFFF"/>
        </w:rPr>
      </w:pPr>
    </w:p>
    <w:p w:rsidR="00853D55" w:rsidRDefault="00853D55" w:rsidP="00853D55">
      <w:pPr>
        <w:ind w:firstLine="709"/>
        <w:jc w:val="both"/>
        <w:rPr>
          <w:color w:val="000000"/>
          <w:sz w:val="22"/>
          <w:szCs w:val="22"/>
          <w:shd w:val="clear" w:color="auto" w:fill="FFFFFF"/>
        </w:rPr>
      </w:pPr>
    </w:p>
    <w:p w:rsidR="00853D55" w:rsidRPr="00C653FF" w:rsidRDefault="00853D55" w:rsidP="00853D55">
      <w:pPr>
        <w:ind w:firstLine="709"/>
        <w:jc w:val="both"/>
        <w:rPr>
          <w:color w:val="000000"/>
          <w:sz w:val="22"/>
          <w:szCs w:val="22"/>
          <w:shd w:val="clear" w:color="auto" w:fill="FFFFFF"/>
        </w:rPr>
      </w:pPr>
    </w:p>
    <w:p w:rsidR="00853D55" w:rsidRPr="00C653FF" w:rsidRDefault="00853D55" w:rsidP="00853D55">
      <w:pPr>
        <w:ind w:firstLine="709"/>
        <w:rPr>
          <w:b/>
          <w:bCs/>
          <w:sz w:val="22"/>
          <w:szCs w:val="22"/>
        </w:rPr>
      </w:pPr>
    </w:p>
    <w:p w:rsidR="00853D55" w:rsidRPr="00C653FF" w:rsidRDefault="00853D55" w:rsidP="00853D55">
      <w:pPr>
        <w:rPr>
          <w:sz w:val="22"/>
          <w:szCs w:val="22"/>
        </w:rPr>
      </w:pPr>
      <w:r w:rsidRPr="00C653FF">
        <w:rPr>
          <w:b/>
          <w:bCs/>
          <w:sz w:val="22"/>
          <w:szCs w:val="22"/>
        </w:rPr>
        <w:t>Mots clés</w:t>
      </w:r>
      <w:r w:rsidRPr="00C653FF">
        <w:rPr>
          <w:sz w:val="22"/>
          <w:szCs w:val="22"/>
        </w:rPr>
        <w:t> : Rongeurs sahariens, Surrénale, MVDP/AKR1B7, Thyroïde, Récepteur aux androgènes (RA), Testostérone.</w:t>
      </w:r>
    </w:p>
    <w:p w:rsidR="00853D55" w:rsidRPr="00C653FF" w:rsidRDefault="00853D55" w:rsidP="00853D55">
      <w:pPr>
        <w:ind w:firstLine="709"/>
        <w:jc w:val="both"/>
        <w:rPr>
          <w:rStyle w:val="hps"/>
          <w:color w:val="333333"/>
          <w:sz w:val="22"/>
          <w:szCs w:val="22"/>
        </w:rPr>
      </w:pPr>
    </w:p>
    <w:p w:rsidR="00030211" w:rsidRDefault="00853D55"/>
    <w:sectPr w:rsidR="00030211" w:rsidSect="009C160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853D55"/>
    <w:rsid w:val="007F2C28"/>
    <w:rsid w:val="00853D55"/>
    <w:rsid w:val="009C1608"/>
    <w:rsid w:val="00CF45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3D55"/>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853D55"/>
  </w:style>
  <w:style w:type="character" w:customStyle="1" w:styleId="hps">
    <w:name w:val="hps"/>
    <w:basedOn w:val="Policepardfaut"/>
    <w:rsid w:val="00853D5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593</Words>
  <Characters>3264</Characters>
  <Application>Microsoft Office Word</Application>
  <DocSecurity>0</DocSecurity>
  <Lines>27</Lines>
  <Paragraphs>7</Paragraphs>
  <ScaleCrop>false</ScaleCrop>
  <Company>Hewlett-Packard</Company>
  <LinksUpToDate>false</LinksUpToDate>
  <CharactersWithSpaces>3850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 Ilm</dc:creator>
  <cp:lastModifiedBy>Al Ilm</cp:lastModifiedBy>
  <cp:revision>1</cp:revision>
  <dcterms:created xsi:type="dcterms:W3CDTF">2012-03-14T17:12:00Z</dcterms:created>
  <dcterms:modified xsi:type="dcterms:W3CDTF">2012-03-14T17:16:00Z</dcterms:modified>
</cp:coreProperties>
</file>