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4452" w:rsidRDefault="00F64452" w:rsidP="00F64452">
      <w:pPr>
        <w:bidi w:val="0"/>
        <w:rPr>
          <w:lang w:bidi="ar-DZ"/>
        </w:rPr>
      </w:pPr>
      <w:r>
        <w:rPr>
          <w:lang w:bidi="ar-DZ"/>
        </w:rPr>
        <w:t>Le genre Ferula (Apiaceae) comporte près de 180 espèces. Parmi elles, 130 espèces sont communes au bassin méditerranéen et en Asie centrale. Les espèces du genre Ferula sont connues pour leurs utilisations en médecine traditionnelle, notamment comme tranquillisants, antispasmodiques et antihystériques. Les différentes études phytochimiques réalisées sur ce genre ont permis de répertorier quelques centaines de composés appartenant pour la majorité à la famille des terpènes. Les daucanes et les sesquiterpènes coumariniques sont des métabolites secondaires caractéristiques du genre Ferula. Ces composés se sont avérés présenter des propriétés biologiques intéressantes, notamment des activités antiprolifératives sur différentes lignées de cellules cancéreuses et modulatrices du transporteur ABC la P-gp (la glycoprotéine p</w:t>
      </w:r>
      <w:r>
        <w:rPr>
          <w:rFonts w:cs="Arial"/>
          <w:rtl/>
          <w:lang w:bidi="ar-DZ"/>
        </w:rPr>
        <w:t>).</w:t>
      </w:r>
    </w:p>
    <w:p w:rsidR="00F64452" w:rsidRDefault="00F64452" w:rsidP="00F64452">
      <w:pPr>
        <w:bidi w:val="0"/>
        <w:rPr>
          <w:lang w:bidi="ar-DZ"/>
        </w:rPr>
      </w:pPr>
      <w:r>
        <w:rPr>
          <w:lang w:bidi="ar-DZ"/>
        </w:rPr>
        <w:t>Le potentiel inhibiteur montré à l'égard de ce transporteur par les extraits de l'espèce Ferula vesceritensis,  endémique à notre région  a contribué largement dans le choix de cette espèce et de son étude phytochimique</w:t>
      </w:r>
      <w:r>
        <w:rPr>
          <w:rFonts w:cs="Arial"/>
          <w:rtl/>
          <w:lang w:bidi="ar-DZ"/>
        </w:rPr>
        <w:t xml:space="preserve">. </w:t>
      </w:r>
    </w:p>
    <w:p w:rsidR="00F64452" w:rsidRDefault="00F64452" w:rsidP="00F64452">
      <w:pPr>
        <w:bidi w:val="0"/>
        <w:rPr>
          <w:lang w:bidi="ar-DZ"/>
        </w:rPr>
      </w:pPr>
      <w:r>
        <w:rPr>
          <w:lang w:bidi="ar-DZ"/>
        </w:rPr>
        <w:t>Le fractionnement des extraits DCM et au méthanol à conduit à l'isolement de douze sesquiterpènes, neuf sont de type daucane dont cinq structures nouvelles et une identifiée pour la première fois dans le l'espèce et le genre. Trois structures sont de type sesquiterpène coumarinique. De plus l'acide anisique, un ose et deux flavones diglycosilées ont été caractérisés</w:t>
      </w:r>
      <w:r>
        <w:rPr>
          <w:rFonts w:cs="Arial"/>
          <w:rtl/>
          <w:lang w:bidi="ar-DZ"/>
        </w:rPr>
        <w:t xml:space="preserve">. </w:t>
      </w:r>
    </w:p>
    <w:p w:rsidR="00F64452" w:rsidRDefault="00F64452" w:rsidP="00F64452">
      <w:pPr>
        <w:bidi w:val="0"/>
        <w:rPr>
          <w:lang w:bidi="ar-DZ"/>
        </w:rPr>
      </w:pPr>
      <w:r>
        <w:rPr>
          <w:lang w:bidi="ar-DZ"/>
        </w:rPr>
        <w:t>Par ailleurs l'extrait à l'hexane a été soumis à des analyses par les techniques couplées CLHP-UV-DAD, CLHP-SM et GC-MS. Quelques constituants communs aux extraits à l'hexane et au DCM ont été mis en évidence  alors qu'une vingtaine de constituants volatils sont proposés</w:t>
      </w:r>
      <w:r>
        <w:rPr>
          <w:rFonts w:cs="Arial"/>
          <w:rtl/>
          <w:lang w:bidi="ar-DZ"/>
        </w:rPr>
        <w:t>.</w:t>
      </w:r>
    </w:p>
    <w:p w:rsidR="00F64452" w:rsidRDefault="00F64452" w:rsidP="00F64452">
      <w:pPr>
        <w:bidi w:val="0"/>
        <w:rPr>
          <w:lang w:bidi="ar-DZ"/>
        </w:rPr>
      </w:pPr>
      <w:r>
        <w:rPr>
          <w:lang w:bidi="ar-DZ"/>
        </w:rPr>
        <w:t>Du point de vue pharmacologique, les sesquiterpènes isolés ont été soumis à trois tests. Les deux premiers ont été effectués sur les deux transporteurs ABC : la P-gp et la BCRP. Le troisième test  a été réalisé dans le but de déterminer l'affinité  de ces composés  vis-à-vis de la  pompe active Pgp en utilisant un modèle de domaine  NBD d'une protéine recombinante d'origine parasitaire</w:t>
      </w:r>
      <w:r>
        <w:rPr>
          <w:rFonts w:cs="Arial"/>
          <w:rtl/>
          <w:lang w:bidi="ar-DZ"/>
        </w:rPr>
        <w:t xml:space="preserve">. </w:t>
      </w:r>
    </w:p>
    <w:p w:rsidR="00D601D7" w:rsidRPr="00F64452" w:rsidRDefault="00F64452" w:rsidP="00F64452">
      <w:pPr>
        <w:bidi w:val="0"/>
        <w:rPr>
          <w:lang w:bidi="ar-DZ"/>
        </w:rPr>
      </w:pPr>
      <w:r>
        <w:rPr>
          <w:lang w:bidi="ar-DZ"/>
        </w:rPr>
        <w:t>Les deux sesquiterpènes coumariniques le féselol et particulièrement la coladonine se sont révélés comme de potentiels inhibiteurs  de la Pgp. Le lasidiol-10-anisate est quant à lui le daucane le plus actif aussi bien sur la Pgp que sur la BCRP</w:t>
      </w:r>
      <w:r>
        <w:rPr>
          <w:rFonts w:cs="Arial"/>
          <w:rtl/>
          <w:lang w:bidi="ar-DZ"/>
        </w:rPr>
        <w:t>.</w:t>
      </w:r>
    </w:p>
    <w:sectPr w:rsidR="00D601D7" w:rsidRPr="00F64452"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904AD"/>
    <w:rsid w:val="005F47AF"/>
    <w:rsid w:val="00D601D7"/>
    <w:rsid w:val="00E904AD"/>
    <w:rsid w:val="00F6445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01D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348</Words>
  <Characters>1986</Characters>
  <Application>Microsoft Office Word</Application>
  <DocSecurity>0</DocSecurity>
  <Lines>16</Lines>
  <Paragraphs>4</Paragraphs>
  <ScaleCrop>false</ScaleCrop>
  <Company/>
  <LinksUpToDate>false</LinksUpToDate>
  <CharactersWithSpaces>2330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2</cp:revision>
  <dcterms:created xsi:type="dcterms:W3CDTF">2014-12-07T11:07:00Z</dcterms:created>
  <dcterms:modified xsi:type="dcterms:W3CDTF">2014-12-07T11:29:00Z</dcterms:modified>
</cp:coreProperties>
</file>